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0F4109">
      <w:pPr>
        <w:pStyle w:val="33"/>
        <w:spacing w:before="120" w:beforeAutospacing="0" w:after="120" w:afterAutospacing="0" w:line="360" w:lineRule="auto"/>
        <w:rPr>
          <w:color w:val="auto"/>
          <w:highlight w:val="none"/>
        </w:rPr>
      </w:pPr>
      <w:r>
        <w:rPr>
          <w:color w:val="auto"/>
          <w:highlight w:val="none"/>
        </w:rPr>
        <w:t> </w:t>
      </w:r>
    </w:p>
    <w:p w14:paraId="70825EF9">
      <w:pPr>
        <w:pStyle w:val="33"/>
        <w:spacing w:before="120" w:beforeAutospacing="0" w:after="120" w:afterAutospacing="0" w:line="360" w:lineRule="auto"/>
        <w:rPr>
          <w:color w:val="auto"/>
          <w:highlight w:val="none"/>
        </w:rPr>
      </w:pPr>
    </w:p>
    <w:p w14:paraId="73D61FF6">
      <w:pPr>
        <w:pStyle w:val="33"/>
        <w:spacing w:before="120" w:beforeAutospacing="0" w:after="120" w:afterAutospacing="0" w:line="360" w:lineRule="auto"/>
        <w:rPr>
          <w:color w:val="auto"/>
          <w:highlight w:val="none"/>
        </w:rPr>
      </w:pPr>
    </w:p>
    <w:p w14:paraId="75AF3AD1">
      <w:pPr>
        <w:pStyle w:val="33"/>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443C5E05">
      <w:pPr>
        <w:pStyle w:val="33"/>
        <w:spacing w:before="120" w:beforeAutospacing="0" w:after="120" w:afterAutospacing="0" w:line="360" w:lineRule="auto"/>
        <w:ind w:firstLine="643"/>
        <w:rPr>
          <w:rFonts w:ascii="Arial" w:hAnsi="Arial" w:cs="Arial"/>
          <w:b/>
          <w:color w:val="auto"/>
          <w:sz w:val="32"/>
          <w:szCs w:val="32"/>
          <w:highlight w:val="none"/>
        </w:rPr>
      </w:pPr>
    </w:p>
    <w:p w14:paraId="01960059">
      <w:pPr>
        <w:pStyle w:val="33"/>
        <w:spacing w:before="120" w:beforeAutospacing="0" w:after="120" w:afterAutospacing="0" w:line="360" w:lineRule="auto"/>
        <w:ind w:firstLine="643"/>
        <w:rPr>
          <w:rFonts w:hint="eastAsia" w:eastAsia="宋体"/>
          <w:color w:val="auto"/>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东台市实验小学未来实验室建设项目（第三次）</w:t>
      </w:r>
    </w:p>
    <w:p w14:paraId="7819DAA2">
      <w:pPr>
        <w:pStyle w:val="33"/>
        <w:spacing w:beforeAutospacing="0" w:afterAutospacing="0"/>
        <w:ind w:firstLine="643"/>
        <w:rPr>
          <w:rFonts w:hint="eastAsia" w:eastAsiaTheme="minorEastAsia"/>
          <w:color w:val="auto"/>
          <w:highlight w:val="none"/>
          <w:lang w:val="en-US" w:eastAsia="zh-CN"/>
        </w:rPr>
      </w:pPr>
      <w:r>
        <w:rPr>
          <w:rFonts w:ascii="Times New Roman" w:hAnsi="Times New Roman"/>
          <w:b/>
          <w:color w:val="auto"/>
          <w:sz w:val="32"/>
          <w:szCs w:val="32"/>
          <w:highlight w:val="none"/>
        </w:rPr>
        <w:t>项目编号：</w:t>
      </w:r>
      <w:r>
        <w:rPr>
          <w:rFonts w:hint="eastAsia" w:ascii="Times New Roman" w:hAnsi="Times New Roman"/>
          <w:b/>
          <w:color w:val="auto"/>
          <w:sz w:val="32"/>
          <w:szCs w:val="32"/>
          <w:highlight w:val="none"/>
          <w:lang w:eastAsia="zh-CN"/>
        </w:rPr>
        <w:t>JSZC-320981-CCGC-G2025-0062</w:t>
      </w:r>
    </w:p>
    <w:p w14:paraId="3DF9428C">
      <w:pPr>
        <w:pStyle w:val="33"/>
        <w:spacing w:beforeAutospacing="0" w:afterAutospacing="0" w:line="360" w:lineRule="auto"/>
        <w:rPr>
          <w:color w:val="auto"/>
          <w:highlight w:val="none"/>
        </w:rPr>
      </w:pPr>
      <w:r>
        <w:rPr>
          <w:color w:val="auto"/>
          <w:highlight w:val="none"/>
        </w:rPr>
        <w:t xml:space="preserve">  </w:t>
      </w:r>
    </w:p>
    <w:p w14:paraId="01856F67">
      <w:pPr>
        <w:pStyle w:val="33"/>
        <w:spacing w:beforeAutospacing="0" w:afterAutospacing="0" w:line="360" w:lineRule="auto"/>
        <w:rPr>
          <w:color w:val="auto"/>
          <w:highlight w:val="none"/>
        </w:rPr>
      </w:pPr>
      <w:r>
        <w:rPr>
          <w:color w:val="auto"/>
          <w:highlight w:val="none"/>
        </w:rPr>
        <w:t> </w:t>
      </w:r>
    </w:p>
    <w:p w14:paraId="52960C5F">
      <w:pPr>
        <w:pStyle w:val="33"/>
        <w:spacing w:beforeAutospacing="0" w:afterAutospacing="0" w:line="360" w:lineRule="auto"/>
        <w:rPr>
          <w:color w:val="auto"/>
          <w:highlight w:val="none"/>
        </w:rPr>
      </w:pPr>
      <w:r>
        <w:rPr>
          <w:color w:val="auto"/>
          <w:highlight w:val="none"/>
        </w:rPr>
        <w:t> </w:t>
      </w:r>
    </w:p>
    <w:p w14:paraId="233641EA">
      <w:pPr>
        <w:pStyle w:val="33"/>
        <w:spacing w:beforeAutospacing="0" w:afterAutospacing="0" w:line="360" w:lineRule="auto"/>
        <w:rPr>
          <w:color w:val="auto"/>
          <w:highlight w:val="none"/>
        </w:rPr>
      </w:pPr>
      <w:r>
        <w:rPr>
          <w:color w:val="auto"/>
          <w:highlight w:val="none"/>
        </w:rPr>
        <w:t>  </w:t>
      </w:r>
    </w:p>
    <w:p w14:paraId="0CA9423B">
      <w:pPr>
        <w:pStyle w:val="33"/>
        <w:spacing w:beforeAutospacing="0" w:afterAutospacing="0" w:line="360" w:lineRule="auto"/>
        <w:rPr>
          <w:color w:val="auto"/>
          <w:highlight w:val="none"/>
        </w:rPr>
      </w:pPr>
      <w:r>
        <w:rPr>
          <w:color w:val="auto"/>
          <w:highlight w:val="none"/>
        </w:rPr>
        <w:t> </w:t>
      </w:r>
    </w:p>
    <w:p w14:paraId="5989108D">
      <w:pPr>
        <w:pStyle w:val="33"/>
        <w:spacing w:before="120" w:beforeAutospacing="0" w:after="120" w:afterAutospacing="0" w:line="360" w:lineRule="auto"/>
        <w:ind w:firstLine="964"/>
        <w:rPr>
          <w:rFonts w:hint="eastAsia" w:ascii="Arial" w:hAnsi="Arial" w:cs="Arial"/>
          <w:b/>
          <w:color w:val="auto"/>
          <w:sz w:val="32"/>
          <w:szCs w:val="32"/>
          <w:highlight w:val="none"/>
        </w:rPr>
      </w:pPr>
    </w:p>
    <w:p w14:paraId="7B9D3ED4">
      <w:pPr>
        <w:pStyle w:val="33"/>
        <w:spacing w:beforeAutospacing="0" w:afterAutospacing="0" w:line="360" w:lineRule="auto"/>
        <w:rPr>
          <w:color w:val="auto"/>
          <w:highlight w:val="none"/>
        </w:rPr>
      </w:pPr>
    </w:p>
    <w:p w14:paraId="4ADB4205">
      <w:pPr>
        <w:pStyle w:val="33"/>
        <w:widowControl/>
        <w:spacing w:before="120" w:beforeAutospacing="0" w:after="120" w:afterAutospacing="0" w:line="360" w:lineRule="auto"/>
        <w:ind w:firstLine="1285"/>
        <w:jc w:val="both"/>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采购单位：</w:t>
      </w:r>
      <w:r>
        <w:rPr>
          <w:rFonts w:hint="eastAsia" w:ascii="Arial" w:hAnsi="Arial" w:eastAsia="宋体" w:cs="Arial"/>
          <w:b/>
          <w:color w:val="auto"/>
          <w:sz w:val="32"/>
          <w:szCs w:val="32"/>
          <w:highlight w:val="none"/>
          <w:lang w:eastAsia="zh-CN"/>
        </w:rPr>
        <w:t>东台市实验小学</w:t>
      </w:r>
    </w:p>
    <w:p w14:paraId="24733895">
      <w:pPr>
        <w:pStyle w:val="33"/>
        <w:widowControl/>
        <w:spacing w:before="120" w:beforeAutospacing="0" w:after="120" w:afterAutospacing="0" w:line="360" w:lineRule="auto"/>
        <w:ind w:firstLine="1285"/>
        <w:jc w:val="both"/>
        <w:rPr>
          <w:rFonts w:ascii="Arial" w:hAnsi="Arial" w:eastAsia="宋体" w:cs="Arial"/>
          <w:b/>
          <w:color w:val="auto"/>
          <w:sz w:val="32"/>
          <w:szCs w:val="32"/>
          <w:highlight w:val="none"/>
        </w:rPr>
      </w:pPr>
    </w:p>
    <w:p w14:paraId="1E3E5DCB">
      <w:pPr>
        <w:pStyle w:val="33"/>
        <w:widowControl/>
        <w:spacing w:before="120" w:beforeAutospacing="0" w:after="120" w:afterAutospacing="0" w:line="360" w:lineRule="auto"/>
        <w:ind w:firstLine="1285"/>
        <w:jc w:val="both"/>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采购代理机构：</w:t>
      </w:r>
      <w:r>
        <w:rPr>
          <w:rFonts w:hint="eastAsia" w:ascii="Arial" w:hAnsi="Arial" w:eastAsia="宋体" w:cs="Arial"/>
          <w:b/>
          <w:color w:val="auto"/>
          <w:sz w:val="32"/>
          <w:szCs w:val="32"/>
          <w:highlight w:val="none"/>
          <w:lang w:eastAsia="zh-CN"/>
        </w:rPr>
        <w:t>江苏策诚工程咨询有限公司</w:t>
      </w:r>
    </w:p>
    <w:p w14:paraId="78468392">
      <w:pPr>
        <w:pStyle w:val="33"/>
        <w:spacing w:before="120" w:beforeAutospacing="0" w:after="120" w:afterAutospacing="0" w:line="360" w:lineRule="auto"/>
        <w:jc w:val="center"/>
        <w:rPr>
          <w:rFonts w:ascii="Arial" w:hAnsi="Arial" w:cs="Arial"/>
          <w:b/>
          <w:color w:val="auto"/>
          <w:sz w:val="32"/>
          <w:szCs w:val="32"/>
          <w:highlight w:val="none"/>
        </w:rPr>
      </w:pPr>
    </w:p>
    <w:p w14:paraId="3A6BFC84">
      <w:pPr>
        <w:pStyle w:val="33"/>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eastAsia="zh-CN"/>
        </w:rPr>
        <w:t>2025</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12</w:t>
      </w:r>
      <w:r>
        <w:rPr>
          <w:rFonts w:ascii="Arial" w:hAnsi="Arial" w:cs="Arial"/>
          <w:b/>
          <w:color w:val="auto"/>
          <w:sz w:val="32"/>
          <w:szCs w:val="32"/>
          <w:highlight w:val="none"/>
        </w:rPr>
        <w:t>月</w:t>
      </w:r>
      <w:r>
        <w:rPr>
          <w:rFonts w:hint="eastAsia" w:ascii="Arial" w:hAnsi="Arial" w:cs="Arial"/>
          <w:b/>
          <w:color w:val="auto"/>
          <w:sz w:val="32"/>
          <w:szCs w:val="32"/>
          <w:highlight w:val="none"/>
          <w:lang w:val="en-US" w:eastAsia="zh-CN"/>
        </w:rPr>
        <w:t>05</w:t>
      </w:r>
      <w:r>
        <w:rPr>
          <w:rFonts w:ascii="Arial" w:hAnsi="Arial" w:cs="Arial"/>
          <w:b/>
          <w:color w:val="auto"/>
          <w:sz w:val="32"/>
          <w:szCs w:val="32"/>
          <w:highlight w:val="none"/>
        </w:rPr>
        <w:t>日</w:t>
      </w:r>
    </w:p>
    <w:p w14:paraId="0C66152B">
      <w:pPr>
        <w:pStyle w:val="33"/>
        <w:spacing w:before="120" w:beforeAutospacing="0" w:after="120" w:afterAutospacing="0" w:line="360" w:lineRule="auto"/>
        <w:rPr>
          <w:color w:val="auto"/>
          <w:highlight w:val="none"/>
        </w:rPr>
      </w:pPr>
      <w:r>
        <w:rPr>
          <w:rFonts w:ascii="Arial" w:hAnsi="Arial" w:cs="Arial"/>
          <w:color w:val="auto"/>
          <w:highlight w:val="none"/>
        </w:rPr>
        <w:t xml:space="preserve">                        </w:t>
      </w:r>
    </w:p>
    <w:p w14:paraId="3512F492">
      <w:pPr>
        <w:pStyle w:val="33"/>
        <w:spacing w:before="120" w:beforeAutospacing="0" w:after="120" w:afterAutospacing="0" w:line="360" w:lineRule="auto"/>
        <w:jc w:val="center"/>
        <w:rPr>
          <w:color w:val="auto"/>
          <w:highlight w:val="none"/>
        </w:rPr>
      </w:pPr>
      <w:r>
        <w:rPr>
          <w:color w:val="auto"/>
          <w:highlight w:val="none"/>
        </w:rPr>
        <w:t> </w:t>
      </w:r>
    </w:p>
    <w:p w14:paraId="098FAFFC">
      <w:pPr>
        <w:pStyle w:val="33"/>
        <w:spacing w:beforeAutospacing="0" w:afterAutospacing="0" w:line="480" w:lineRule="auto"/>
        <w:jc w:val="center"/>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w:t>
      </w:r>
      <w:bookmarkStart w:id="0" w:name="_Toc20823272"/>
      <w:bookmarkStart w:id="1" w:name="_Toc479757206"/>
      <w:bookmarkStart w:id="2" w:name="_Toc513029200"/>
      <w:bookmarkStart w:id="3" w:name="_Toc523127445"/>
      <w:bookmarkStart w:id="4" w:name="_Toc120614210"/>
      <w:bookmarkStart w:id="5" w:name="_Toc16938516"/>
      <w:r>
        <w:rPr>
          <w:rFonts w:ascii="黑体" w:hAnsi="宋体" w:eastAsia="黑体" w:cs="黑体"/>
          <w:b/>
          <w:color w:val="auto"/>
          <w:sz w:val="44"/>
          <w:szCs w:val="44"/>
          <w:highlight w:val="none"/>
        </w:rPr>
        <w:t>总  目  录</w:t>
      </w:r>
      <w:bookmarkEnd w:id="0"/>
      <w:bookmarkEnd w:id="1"/>
      <w:bookmarkEnd w:id="2"/>
      <w:bookmarkEnd w:id="3"/>
      <w:bookmarkEnd w:id="4"/>
      <w:bookmarkEnd w:id="5"/>
    </w:p>
    <w:p w14:paraId="4F92AFA2">
      <w:pPr>
        <w:pStyle w:val="33"/>
        <w:spacing w:beforeAutospacing="0" w:afterAutospacing="0" w:line="480" w:lineRule="auto"/>
        <w:jc w:val="both"/>
        <w:rPr>
          <w:color w:val="auto"/>
          <w:highlight w:val="none"/>
        </w:rPr>
      </w:pPr>
      <w:r>
        <w:rPr>
          <w:color w:val="auto"/>
          <w:highlight w:val="none"/>
        </w:rPr>
        <w:t> </w:t>
      </w:r>
    </w:p>
    <w:p w14:paraId="550AB83B">
      <w:pPr>
        <w:pStyle w:val="3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 xml:space="preserve">…………………………………… </w:t>
      </w:r>
    </w:p>
    <w:p w14:paraId="19B6794F">
      <w:pPr>
        <w:pStyle w:val="3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投标人须知…………………………………  </w:t>
      </w:r>
    </w:p>
    <w:p w14:paraId="34F8A06C">
      <w:pPr>
        <w:pStyle w:val="3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w:t>
      </w:r>
      <w:r>
        <w:rPr>
          <w:rFonts w:hint="eastAsia" w:ascii="黑体" w:hAnsi="宋体" w:eastAsia="黑体" w:cs="黑体"/>
          <w:color w:val="auto"/>
          <w:sz w:val="36"/>
          <w:szCs w:val="36"/>
          <w:highlight w:val="none"/>
          <w:lang w:eastAsia="zh-CN"/>
        </w:rPr>
        <w:t>条款</w:t>
      </w:r>
      <w:r>
        <w:rPr>
          <w:rFonts w:hint="eastAsia" w:ascii="黑体" w:hAnsi="宋体" w:eastAsia="黑体" w:cs="黑体"/>
          <w:color w:val="auto"/>
          <w:sz w:val="36"/>
          <w:szCs w:val="36"/>
          <w:highlight w:val="none"/>
        </w:rPr>
        <w:t>……………………………………</w:t>
      </w:r>
    </w:p>
    <w:p w14:paraId="3EA7E98C">
      <w:pPr>
        <w:pStyle w:val="3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154E708A">
      <w:pPr>
        <w:pStyle w:val="3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评标方法与评标标准………………………</w:t>
      </w:r>
    </w:p>
    <w:p w14:paraId="76E213A1">
      <w:pPr>
        <w:pStyle w:val="3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投标文件格式………………………………</w:t>
      </w:r>
    </w:p>
    <w:p w14:paraId="582BCCEF">
      <w:pPr>
        <w:pStyle w:val="33"/>
        <w:spacing w:beforeAutospacing="0" w:afterAutospacing="0"/>
        <w:jc w:val="both"/>
        <w:rPr>
          <w:color w:val="auto"/>
          <w:highlight w:val="none"/>
        </w:rPr>
      </w:pPr>
      <w:r>
        <w:rPr>
          <w:color w:val="auto"/>
          <w:highlight w:val="none"/>
        </w:rPr>
        <w:t> </w:t>
      </w:r>
    </w:p>
    <w:p w14:paraId="6A5F9B9B">
      <w:pPr>
        <w:pStyle w:val="33"/>
        <w:spacing w:beforeAutospacing="0" w:afterAutospacing="0"/>
        <w:jc w:val="both"/>
        <w:rPr>
          <w:color w:val="auto"/>
          <w:highlight w:val="none"/>
        </w:rPr>
      </w:pPr>
      <w:r>
        <w:rPr>
          <w:color w:val="auto"/>
          <w:highlight w:val="none"/>
        </w:rPr>
        <w:t> </w:t>
      </w:r>
    </w:p>
    <w:p w14:paraId="453419A8">
      <w:pPr>
        <w:rPr>
          <w:rFonts w:hint="eastAsia" w:ascii="黑体" w:hAnsi="宋体" w:eastAsia="黑体" w:cs="黑体"/>
          <w:color w:val="auto"/>
          <w:sz w:val="44"/>
          <w:szCs w:val="44"/>
          <w:highlight w:val="none"/>
        </w:rPr>
      </w:pPr>
      <w:bookmarkStart w:id="6" w:name="_Toc28359086"/>
      <w:r>
        <w:rPr>
          <w:rFonts w:hint="eastAsia" w:ascii="黑体" w:hAnsi="宋体" w:eastAsia="黑体" w:cs="黑体"/>
          <w:color w:val="auto"/>
          <w:sz w:val="44"/>
          <w:szCs w:val="44"/>
          <w:highlight w:val="none"/>
        </w:rPr>
        <w:br w:type="page" w:clear="all"/>
      </w:r>
    </w:p>
    <w:p w14:paraId="10326639">
      <w:pPr>
        <w:pStyle w:val="33"/>
        <w:keepNext/>
        <w:spacing w:beforeAutospacing="0" w:afterAutospacing="0"/>
        <w:jc w:val="center"/>
        <w:rPr>
          <w:rFonts w:hint="default" w:eastAsia="黑体"/>
          <w:color w:val="auto"/>
          <w:highlight w:val="none"/>
          <w:lang w:val="en-US" w:eastAsia="zh-CN"/>
        </w:rPr>
      </w:pPr>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128456B5">
      <w:pPr>
        <w:pStyle w:val="3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40EF5FDE">
      <w:pPr>
        <w:pStyle w:val="3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东台市实验小学未来实验室建设项目（第三次）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JSZC-320981-CCGC-G2025-0062</w:t>
      </w:r>
      <w:r>
        <w:rPr>
          <w:rFonts w:hint="eastAsia" w:ascii="宋体" w:hAnsi="宋体" w:eastAsia="宋体" w:cs="宋体"/>
          <w:color w:val="auto"/>
          <w:sz w:val="24"/>
          <w:szCs w:val="24"/>
          <w:highlight w:val="none"/>
        </w:rPr>
        <w:t>招标项目的潜在投标人</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，并于2025-</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北京时间）前递交投标文件。</w:t>
      </w:r>
    </w:p>
    <w:p w14:paraId="516E757B">
      <w:pPr>
        <w:pStyle w:val="33"/>
        <w:keepNext/>
        <w:keepLines/>
        <w:pageBreakBefore w:val="0"/>
        <w:spacing w:beforeAutospacing="0" w:afterAutospacing="0" w:line="360" w:lineRule="auto"/>
        <w:ind w:firstLine="482"/>
        <w:jc w:val="both"/>
        <w:rPr>
          <w:rFonts w:hint="eastAsia" w:ascii="宋体" w:hAnsi="宋体" w:eastAsia="宋体" w:cs="宋体"/>
          <w:color w:val="auto"/>
          <w:sz w:val="24"/>
          <w:szCs w:val="24"/>
          <w:highlight w:val="none"/>
        </w:rPr>
      </w:pPr>
      <w:bookmarkStart w:id="7" w:name="_Toc35393790"/>
      <w:bookmarkStart w:id="8" w:name="_Toc35393621"/>
      <w:bookmarkStart w:id="9" w:name="_Hlk24379207"/>
      <w:bookmarkStart w:id="10" w:name="_Toc28359002"/>
      <w:bookmarkStart w:id="11" w:name="_Toc28359079"/>
      <w:bookmarkStart w:id="12" w:name="_Toc38985263"/>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70CF8547">
      <w:pPr>
        <w:pStyle w:val="33"/>
        <w:pageBreakBefore w:val="0"/>
        <w:spacing w:beforeAutospacing="0" w:afterAutospacing="0" w:line="360" w:lineRule="auto"/>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项目编号：</w:t>
      </w:r>
      <w:r>
        <w:rPr>
          <w:rFonts w:hint="eastAsia" w:ascii="宋体" w:hAnsi="宋体" w:eastAsia="宋体" w:cs="宋体"/>
          <w:color w:val="auto"/>
          <w:sz w:val="24"/>
          <w:szCs w:val="24"/>
          <w:highlight w:val="none"/>
          <w:u w:val="none"/>
          <w:lang w:eastAsia="zh-CN"/>
        </w:rPr>
        <w:t>JSZC-320981-CCGC-G2025-0062</w:t>
      </w:r>
    </w:p>
    <w:p w14:paraId="6B87A592">
      <w:pPr>
        <w:pStyle w:val="33"/>
        <w:pageBreakBefore w:val="0"/>
        <w:spacing w:beforeAutospacing="0" w:afterAutospacing="0" w:line="360" w:lineRule="auto"/>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项</w:t>
      </w:r>
      <w:r>
        <w:rPr>
          <w:rFonts w:hint="eastAsia" w:ascii="宋体" w:hAnsi="宋体" w:eastAsia="宋体" w:cs="宋体"/>
          <w:color w:val="auto"/>
          <w:sz w:val="24"/>
          <w:szCs w:val="24"/>
          <w:highlight w:val="none"/>
          <w:shd w:val="clear" w:color="auto" w:fill="auto"/>
        </w:rPr>
        <w:t>目名称：</w:t>
      </w:r>
      <w:r>
        <w:rPr>
          <w:rFonts w:hint="eastAsia" w:ascii="宋体" w:hAnsi="宋体" w:eastAsia="宋体" w:cs="宋体"/>
          <w:color w:val="auto"/>
          <w:sz w:val="24"/>
          <w:szCs w:val="24"/>
          <w:highlight w:val="none"/>
          <w:shd w:val="clear" w:color="auto" w:fill="auto"/>
          <w:lang w:eastAsia="zh-CN"/>
        </w:rPr>
        <w:t>东台市实验小学未来实验室建设项目（第三次）</w:t>
      </w:r>
    </w:p>
    <w:p w14:paraId="4E34C339">
      <w:pPr>
        <w:pStyle w:val="33"/>
        <w:pageBreakBefore w:val="0"/>
        <w:spacing w:beforeAutospacing="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公开招标</w:t>
      </w:r>
    </w:p>
    <w:p w14:paraId="53A24156">
      <w:pPr>
        <w:pStyle w:val="33"/>
        <w:pageBreakBefore w:val="0"/>
        <w:spacing w:beforeAutospacing="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160.000000万元</w:t>
      </w:r>
    </w:p>
    <w:p w14:paraId="41FA0337">
      <w:pPr>
        <w:pStyle w:val="33"/>
        <w:pageBreakBefore w:val="0"/>
        <w:spacing w:beforeAutospacing="0" w:afterAutospacing="0" w:line="360" w:lineRule="auto"/>
        <w:ind w:firstLine="480"/>
        <w:jc w:val="both"/>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rPr>
        <w:t>最高限价（如有）：</w:t>
      </w:r>
      <w:r>
        <w:rPr>
          <w:rFonts w:hint="eastAsia" w:ascii="宋体" w:hAnsi="宋体" w:eastAsia="宋体" w:cs="宋体"/>
          <w:i w:val="0"/>
          <w:iCs w:val="0"/>
          <w:caps w:val="0"/>
          <w:color w:val="auto"/>
          <w:spacing w:val="0"/>
          <w:sz w:val="24"/>
          <w:szCs w:val="24"/>
          <w:highlight w:val="none"/>
          <w:shd w:val="clear" w:color="auto" w:fill="FFFFFF"/>
          <w:lang w:val="en-US" w:eastAsia="zh-CN"/>
        </w:rPr>
        <w:t>158</w:t>
      </w:r>
      <w:r>
        <w:rPr>
          <w:rFonts w:hint="eastAsia" w:ascii="宋体" w:hAnsi="宋体" w:eastAsia="宋体" w:cs="宋体"/>
          <w:color w:val="auto"/>
          <w:sz w:val="24"/>
          <w:szCs w:val="24"/>
          <w:highlight w:val="none"/>
          <w:lang w:val="en-US" w:eastAsia="zh-CN"/>
        </w:rPr>
        <w:t>万元</w:t>
      </w:r>
    </w:p>
    <w:p w14:paraId="14779122">
      <w:pPr>
        <w:pStyle w:val="33"/>
        <w:pageBreakBefore w:val="0"/>
        <w:spacing w:beforeAutospacing="0" w:afterAutospacing="0" w:line="360" w:lineRule="auto"/>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采购需求（简介）：</w:t>
      </w:r>
    </w:p>
    <w:p w14:paraId="7BACF64A">
      <w:pPr>
        <w:pStyle w:val="33"/>
        <w:pageBreakBefore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东台市实验小学未来实验室建设项目（第三次），拟建设未来实验室2间,并按招标文件要求提供相关服务，确保满足招标文件的要求和招标人的实际使用需求。</w:t>
      </w:r>
      <w:r>
        <w:rPr>
          <w:rFonts w:hint="eastAsia" w:ascii="宋体" w:hAnsi="宋体" w:eastAsia="宋体" w:cs="宋体"/>
          <w:color w:val="auto"/>
          <w:sz w:val="24"/>
          <w:szCs w:val="24"/>
          <w:highlight w:val="none"/>
          <w:shd w:val="clear" w:color="auto" w:fill="auto"/>
        </w:rPr>
        <w:t>（详</w:t>
      </w:r>
      <w:r>
        <w:rPr>
          <w:rFonts w:hint="eastAsia" w:ascii="宋体" w:hAnsi="宋体" w:eastAsia="宋体" w:cs="宋体"/>
          <w:color w:val="auto"/>
          <w:sz w:val="24"/>
          <w:szCs w:val="24"/>
          <w:highlight w:val="none"/>
        </w:rPr>
        <w:t>细内容见本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文件第四章）</w:t>
      </w:r>
    </w:p>
    <w:p w14:paraId="5E8944A9">
      <w:pPr>
        <w:pStyle w:val="33"/>
        <w:pageBreakBefore w:val="0"/>
        <w:spacing w:beforeAutospacing="0" w:afterAutospacing="0" w:line="360" w:lineRule="auto"/>
        <w:ind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合同签订后30日历天内货物全部送达招标人指定位置且安装、调试完毕，并确保正常稳定运行。</w:t>
      </w:r>
    </w:p>
    <w:p w14:paraId="7C8C31AC">
      <w:pPr>
        <w:pageBreakBefore w:val="0"/>
        <w:spacing w:line="360" w:lineRule="auto"/>
        <w:ind w:firstLine="480"/>
        <w:rPr>
          <w:rFonts w:hint="eastAsia" w:ascii="宋体" w:hAnsi="宋体" w:eastAsia="宋体" w:cs="宋体"/>
          <w:color w:val="auto"/>
          <w:sz w:val="24"/>
          <w:highlight w:val="none"/>
          <w:u w:val="none"/>
          <w:lang w:eastAsia="zh-CN"/>
        </w:rPr>
      </w:pPr>
      <w:bookmarkStart w:id="13" w:name="_Toc28359080"/>
      <w:bookmarkStart w:id="14" w:name="_Toc35393622"/>
      <w:bookmarkStart w:id="15" w:name="_Toc38985264"/>
      <w:bookmarkStart w:id="16" w:name="_Toc35393791"/>
      <w:bookmarkStart w:id="17" w:name="_Toc28359003"/>
      <w:r>
        <w:rPr>
          <w:rFonts w:hint="eastAsia" w:ascii="宋体" w:hAnsi="宋体" w:eastAsia="宋体" w:cs="宋体"/>
          <w:color w:val="auto"/>
          <w:sz w:val="24"/>
          <w:highlight w:val="none"/>
          <w:u w:val="none"/>
          <w:lang w:eastAsia="zh-CN"/>
        </w:rPr>
        <w:t>本项目（是/否）接受联合体投标：否</w:t>
      </w:r>
    </w:p>
    <w:p w14:paraId="4FDB082C">
      <w:pPr>
        <w:pStyle w:val="33"/>
        <w:keepNext/>
        <w:keepLines/>
        <w:pageBreakBefore w:val="0"/>
        <w:spacing w:beforeAutospacing="0" w:afterAutospacing="0" w:line="360" w:lineRule="auto"/>
        <w:ind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1B097DD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339A4E7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1.法人或者其他组织的营业执照等证明文件；</w:t>
      </w:r>
    </w:p>
    <w:p w14:paraId="1EF0A6DD">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上一年度或上上年度的财务状况报表（成立不满一年无需提供）；</w:t>
      </w:r>
    </w:p>
    <w:p w14:paraId="5595238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3.具备履行合同所必需的设备和专业技术能力的书面声明；</w:t>
      </w:r>
    </w:p>
    <w:p w14:paraId="10B9D7D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4.依法缴纳税收和社会保障资金的相关材料（提供提交响应文件截止时间前一年内至少一个月依法缴纳税收及缴纳社会保障资金的证明材料。供应商依法享受缓缴、免缴税收、社会保障资金的提供证明材料。）；</w:t>
      </w:r>
    </w:p>
    <w:p w14:paraId="7853111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5.参加政府采购活动前3年内在经营活动中没有重大违法记录的书面声明；</w:t>
      </w:r>
    </w:p>
    <w:p w14:paraId="3A14892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6.投标人法定代表人身份证明和投标文件签署授权委托书（另附法定代表人和被授权人的身份证复印件或扫描件）；</w:t>
      </w:r>
    </w:p>
    <w:p w14:paraId="373C4C8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7.投标人为被授权人缴纳的社会养老保险证明（如有）；</w:t>
      </w:r>
    </w:p>
    <w:p w14:paraId="36B0006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8.法律、行政法规规定的其他条件；</w:t>
      </w:r>
    </w:p>
    <w:p w14:paraId="73AE3F9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FF87B1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10.单位负责人为同一人或者存在直接控股、管理关系的不同供应商，不得参加同一合同项下的政府采购活动（自行承诺，格式自理）。</w:t>
      </w:r>
    </w:p>
    <w:p w14:paraId="31925C4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（二）落实政府采购政策需满足的资格要求：</w:t>
      </w:r>
    </w:p>
    <w:p w14:paraId="11A2A7F5">
      <w:pPr>
        <w:spacing w:line="360" w:lineRule="auto"/>
        <w:ind w:firstLine="480"/>
        <w:rPr>
          <w:rFonts w:hint="eastAsia" w:ascii="宋体" w:hAnsi="宋体" w:eastAsia="宋体" w:cs="宋体"/>
          <w:b w:val="0"/>
          <w:bCs w:val="0"/>
          <w:i w:val="0"/>
          <w:iCs w:val="0"/>
          <w:color w:val="auto"/>
          <w:sz w:val="24"/>
          <w:highlight w:val="none"/>
          <w:u w:val="none"/>
        </w:rPr>
      </w:pPr>
      <w:r>
        <w:rPr>
          <w:rFonts w:hint="eastAsia" w:ascii="宋体" w:hAnsi="宋体" w:eastAsia="宋体" w:cs="宋体"/>
          <w:b w:val="0"/>
          <w:bCs w:val="0"/>
          <w:i w:val="0"/>
          <w:iCs w:val="0"/>
          <w:color w:val="auto"/>
          <w:sz w:val="24"/>
          <w:highlight w:val="none"/>
          <w:u w:val="none"/>
        </w:rPr>
        <w:t>本项目为专门面向中小企业采购的采购项目，</w:t>
      </w:r>
      <w:r>
        <w:rPr>
          <w:rFonts w:hint="eastAsia" w:ascii="宋体" w:hAnsi="宋体" w:eastAsia="宋体" w:cs="宋体"/>
          <w:b w:val="0"/>
          <w:bCs w:val="0"/>
          <w:i w:val="0"/>
          <w:iCs w:val="0"/>
          <w:color w:val="auto"/>
          <w:sz w:val="24"/>
          <w:highlight w:val="none"/>
          <w:u w:val="none"/>
          <w:lang w:val="en-US" w:eastAsia="zh-CN"/>
        </w:rPr>
        <w:t>投标人投标</w:t>
      </w:r>
      <w:r>
        <w:rPr>
          <w:rFonts w:hint="eastAsia" w:ascii="宋体" w:hAnsi="宋体" w:eastAsia="宋体" w:cs="宋体"/>
          <w:b w:val="0"/>
          <w:bCs w:val="0"/>
          <w:i w:val="0"/>
          <w:iCs w:val="0"/>
          <w:color w:val="auto"/>
          <w:sz w:val="24"/>
          <w:highlight w:val="none"/>
          <w:u w:val="none"/>
        </w:rPr>
        <w:t>文件中须提供《中小企业声明函》，《中小企业声明函》不符合要求或未提供的，</w:t>
      </w:r>
      <w:r>
        <w:rPr>
          <w:rFonts w:hint="eastAsia" w:ascii="宋体" w:hAnsi="宋体" w:eastAsia="宋体" w:cs="宋体"/>
          <w:b w:val="0"/>
          <w:bCs w:val="0"/>
          <w:i w:val="0"/>
          <w:iCs w:val="0"/>
          <w:color w:val="auto"/>
          <w:sz w:val="24"/>
          <w:highlight w:val="none"/>
          <w:u w:val="none"/>
          <w:lang w:val="en-US" w:eastAsia="zh-CN"/>
        </w:rPr>
        <w:t>投标</w:t>
      </w:r>
      <w:r>
        <w:rPr>
          <w:rFonts w:hint="eastAsia" w:ascii="宋体" w:hAnsi="宋体" w:eastAsia="宋体" w:cs="宋体"/>
          <w:b w:val="0"/>
          <w:bCs w:val="0"/>
          <w:i w:val="0"/>
          <w:iCs w:val="0"/>
          <w:color w:val="auto"/>
          <w:sz w:val="24"/>
          <w:highlight w:val="none"/>
          <w:u w:val="none"/>
        </w:rPr>
        <w:t>文件无效。</w:t>
      </w:r>
    </w:p>
    <w:p w14:paraId="37F5FD2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（三）本项目的特定资格要求：</w:t>
      </w:r>
    </w:p>
    <w:p w14:paraId="21D09CA5">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无</w:t>
      </w:r>
    </w:p>
    <w:p w14:paraId="7D832088">
      <w:pPr>
        <w:pStyle w:val="33"/>
        <w:keepNext/>
        <w:keepLines/>
        <w:pageBreakBefore w:val="0"/>
        <w:spacing w:beforeAutospacing="0" w:afterAutospacing="0" w:line="360" w:lineRule="auto"/>
        <w:ind w:firstLine="482"/>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三、获取招标文件</w:t>
      </w:r>
    </w:p>
    <w:p w14:paraId="3F12232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color w:val="auto"/>
          <w:sz w:val="24"/>
          <w:szCs w:val="24"/>
          <w:highlight w:val="none"/>
          <w:shd w:val="clear" w:color="auto" w:fill="auto"/>
        </w:rPr>
      </w:pPr>
      <w:bookmarkStart w:id="18" w:name="_Toc38985266"/>
      <w:bookmarkStart w:id="19" w:name="_Toc28359005"/>
      <w:bookmarkStart w:id="20" w:name="_Toc28359082"/>
      <w:bookmarkStart w:id="21" w:name="_Toc35393624"/>
      <w:bookmarkStart w:id="22" w:name="_Toc35393793"/>
      <w:r>
        <w:rPr>
          <w:rFonts w:hint="eastAsia" w:ascii="宋体" w:hAnsi="宋体" w:eastAsia="宋体" w:cs="宋体"/>
          <w:color w:val="auto"/>
          <w:sz w:val="24"/>
          <w:szCs w:val="24"/>
          <w:highlight w:val="none"/>
          <w:shd w:val="clear" w:color="auto" w:fill="auto"/>
        </w:rPr>
        <w:t>时间：</w:t>
      </w:r>
      <w:bookmarkEnd w:id="18"/>
      <w:bookmarkEnd w:id="19"/>
      <w:bookmarkEnd w:id="20"/>
      <w:bookmarkEnd w:id="21"/>
      <w:bookmarkEnd w:id="22"/>
      <w:r>
        <w:rPr>
          <w:rFonts w:hint="eastAsia" w:ascii="宋体" w:hAnsi="宋体" w:eastAsia="宋体" w:cs="宋体"/>
          <w:color w:val="auto"/>
          <w:sz w:val="24"/>
          <w:szCs w:val="24"/>
          <w:highlight w:val="none"/>
          <w:shd w:val="clear" w:color="auto" w:fill="auto"/>
        </w:rPr>
        <w:t>自招标文件公告发布之日起5个工作日。</w:t>
      </w:r>
    </w:p>
    <w:p w14:paraId="2E147054">
      <w:pPr>
        <w:keepNext w:val="0"/>
        <w:keepLines w:val="0"/>
        <w:pageBreakBefore w:val="0"/>
        <w:widowControl/>
        <w:suppressLineNumbers w:val="0"/>
        <w:spacing w:line="360" w:lineRule="auto"/>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地点：“苏采云”系统内免费下载（投标人必须在苏采云系统中获取采购文件，方能参与政府采购项目）；</w:t>
      </w:r>
    </w:p>
    <w:p w14:paraId="60FAF204">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方式：本项目采用网上注册登记方式</w:t>
      </w:r>
    </w:p>
    <w:p w14:paraId="344C227B">
      <w:pPr>
        <w:pageBreakBefore w:val="0"/>
        <w:widowControl/>
        <w:spacing w:line="360" w:lineRule="auto"/>
        <w:ind w:firstLine="48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售价：</w:t>
      </w:r>
      <w:r>
        <w:rPr>
          <w:rFonts w:hint="eastAsia" w:ascii="宋体" w:hAnsi="宋体" w:eastAsia="宋体" w:cs="宋体"/>
          <w:color w:val="auto"/>
          <w:sz w:val="24"/>
          <w:highlight w:val="none"/>
        </w:rPr>
        <w:t>0</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szCs w:val="24"/>
          <w:highlight w:val="none"/>
          <w:shd w:val="clear" w:color="auto" w:fill="auto"/>
          <w:lang w:val="en-US" w:eastAsia="zh-CN"/>
        </w:rPr>
        <w:t>元</w:t>
      </w:r>
    </w:p>
    <w:p w14:paraId="2E70096C">
      <w:pPr>
        <w:pStyle w:val="33"/>
        <w:keepNext/>
        <w:keepLines/>
        <w:pageBreakBefore w:val="0"/>
        <w:spacing w:beforeAutospacing="0" w:afterAutospacing="0" w:line="360" w:lineRule="auto"/>
        <w:ind w:firstLine="482"/>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四、提交投标文件截止时间、开标时间和地点</w:t>
      </w:r>
    </w:p>
    <w:p w14:paraId="0E9747B4">
      <w:pPr>
        <w:pStyle w:val="33"/>
        <w:pageBreakBefore w:val="0"/>
        <w:spacing w:beforeAutospacing="0" w:afterAutospacing="0" w:line="360" w:lineRule="auto"/>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2025-</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shd w:val="clear" w:color="auto" w:fill="auto"/>
        </w:rPr>
        <w:t>（北京时间）</w:t>
      </w:r>
    </w:p>
    <w:p w14:paraId="76F0105E">
      <w:pPr>
        <w:pStyle w:val="33"/>
        <w:pageBreakBefore w:val="0"/>
        <w:spacing w:beforeAutospacing="0" w:afterAutospacing="0" w:line="360" w:lineRule="auto"/>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地点：苏采云“不见面”开标大厅</w:t>
      </w:r>
    </w:p>
    <w:p w14:paraId="03296E3B">
      <w:pPr>
        <w:pStyle w:val="33"/>
        <w:keepNext/>
        <w:keepLines/>
        <w:pageBreakBefore w:val="0"/>
        <w:spacing w:beforeAutospacing="0" w:afterAutospacing="0" w:line="360" w:lineRule="auto"/>
        <w:ind w:firstLine="482"/>
        <w:jc w:val="both"/>
        <w:rPr>
          <w:rFonts w:hint="eastAsia" w:ascii="宋体" w:hAnsi="宋体" w:eastAsia="宋体" w:cs="宋体"/>
          <w:color w:val="auto"/>
          <w:sz w:val="24"/>
          <w:szCs w:val="24"/>
          <w:highlight w:val="none"/>
        </w:rPr>
      </w:pPr>
      <w:bookmarkStart w:id="23" w:name="_Toc28359084"/>
      <w:bookmarkStart w:id="24" w:name="_Toc35393794"/>
      <w:bookmarkStart w:id="25" w:name="_Toc28359007"/>
      <w:bookmarkStart w:id="26" w:name="_Toc35393625"/>
      <w:bookmarkStart w:id="27" w:name="_Toc38985267"/>
      <w:r>
        <w:rPr>
          <w:rFonts w:hint="eastAsia" w:ascii="宋体" w:hAnsi="宋体" w:eastAsia="宋体" w:cs="宋体"/>
          <w:b/>
          <w:color w:val="auto"/>
          <w:sz w:val="24"/>
          <w:szCs w:val="24"/>
          <w:highlight w:val="none"/>
        </w:rPr>
        <w:t>五、公告期限</w:t>
      </w:r>
      <w:bookmarkEnd w:id="23"/>
      <w:bookmarkEnd w:id="24"/>
      <w:bookmarkEnd w:id="25"/>
      <w:bookmarkEnd w:id="26"/>
      <w:bookmarkEnd w:id="27"/>
    </w:p>
    <w:p w14:paraId="16D6DAA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8" w:name="_Toc38985268"/>
      <w:bookmarkStart w:id="29" w:name="_Toc35393626"/>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自本公告发布之日起5个工作日。</w:t>
      </w:r>
      <w:bookmarkEnd w:id="28"/>
      <w:bookmarkEnd w:id="29"/>
      <w:bookmarkEnd w:id="30"/>
    </w:p>
    <w:p w14:paraId="67C46E49">
      <w:pPr>
        <w:pStyle w:val="33"/>
        <w:keepNext/>
        <w:keepLines/>
        <w:pageBreakBefore w:val="0"/>
        <w:spacing w:beforeAutospacing="0" w:afterAutospacing="0" w:line="360" w:lineRule="auto"/>
        <w:ind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63B5C05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3D6E94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A2FFCD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p>
    <w:p w14:paraId="09F802B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3D447CE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p>
    <w:p w14:paraId="5AF3F18A">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p>
    <w:p w14:paraId="4AD5E92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p>
    <w:p w14:paraId="72C5718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27321150">
      <w:pPr>
        <w:keepNext w:val="0"/>
        <w:keepLines w:val="0"/>
        <w:pageBreakBefore w:val="0"/>
        <w:widowControl/>
        <w:suppressLineNumbers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如潜在投标人未按上述要求操作，将自行承担所产生的风险。</w:t>
      </w:r>
    </w:p>
    <w:p w14:paraId="6D5ACBD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江苏政府采购网”“盐城市政府采购网”发布的更正公告。</w:t>
      </w:r>
    </w:p>
    <w:p w14:paraId="0C108FD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4.本次招标不收取投标保证金，不收取质量保证金。</w:t>
      </w:r>
    </w:p>
    <w:p w14:paraId="10E7808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.本项目（是/否）接受银行、保险、石油石化、电力、电信等行业的分支机构参与：</w:t>
      </w:r>
      <w:r>
        <w:rPr>
          <w:rFonts w:hint="eastAsia" w:ascii="宋体" w:hAnsi="宋体" w:cs="宋体"/>
          <w:color w:val="auto"/>
          <w:sz w:val="24"/>
          <w:highlight w:val="none"/>
          <w:lang w:val="en-US" w:eastAsia="zh-CN"/>
        </w:rPr>
        <w:t>是</w:t>
      </w:r>
      <w:r>
        <w:rPr>
          <w:rFonts w:hint="eastAsia" w:ascii="宋体" w:hAnsi="宋体" w:cs="宋体"/>
          <w:color w:val="auto"/>
          <w:sz w:val="24"/>
          <w:highlight w:val="none"/>
        </w:rPr>
        <w:t>。</w:t>
      </w:r>
    </w:p>
    <w:p w14:paraId="2ECB75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.供应商成交后打印纸质响应文件（正本壹份、副本</w:t>
      </w:r>
      <w:r>
        <w:rPr>
          <w:rFonts w:hint="eastAsia" w:ascii="宋体" w:hAnsi="宋体" w:cs="宋体"/>
          <w:color w:val="auto"/>
          <w:sz w:val="24"/>
          <w:highlight w:val="none"/>
          <w:lang w:val="en-US" w:eastAsia="zh-CN"/>
        </w:rPr>
        <w:t>叁</w:t>
      </w:r>
      <w:r>
        <w:rPr>
          <w:rFonts w:hint="eastAsia" w:ascii="宋体" w:hAnsi="宋体" w:cs="宋体"/>
          <w:color w:val="auto"/>
          <w:sz w:val="24"/>
          <w:highlight w:val="none"/>
        </w:rPr>
        <w:t>份），在领取成交通知书前与用普通光盘或U盘拷贝的电子响应文件一并送至采购人。</w:t>
      </w:r>
    </w:p>
    <w:p w14:paraId="0A154B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七</w:t>
      </w:r>
      <w:r>
        <w:rPr>
          <w:rFonts w:hint="eastAsia" w:ascii="宋体" w:hAnsi="宋体" w:cs="宋体"/>
          <w:color w:val="auto"/>
          <w:sz w:val="24"/>
          <w:highlight w:val="none"/>
        </w:rPr>
        <w:t>、对本次</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提出询问，请按以下方式联系。</w:t>
      </w:r>
      <w:bookmarkEnd w:id="31"/>
    </w:p>
    <w:p w14:paraId="50CFBA0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1.采购人信息</w:t>
      </w:r>
    </w:p>
    <w:p w14:paraId="712D20C4">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东台市实验小学</w:t>
      </w:r>
    </w:p>
    <w:p w14:paraId="3E8F462C">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单位地址：</w:t>
      </w:r>
      <w:r>
        <w:rPr>
          <w:rFonts w:hint="eastAsia" w:ascii="宋体" w:hAnsi="宋体" w:eastAsia="宋体" w:cs="宋体"/>
          <w:color w:val="auto"/>
          <w:sz w:val="24"/>
          <w:szCs w:val="24"/>
          <w:highlight w:val="none"/>
          <w:lang w:val="en-US" w:eastAsia="zh-CN"/>
        </w:rPr>
        <w:t>东台市红兰南路111号</w:t>
      </w:r>
    </w:p>
    <w:p w14:paraId="7BB4D72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联系人：</w:t>
      </w:r>
      <w:r>
        <w:rPr>
          <w:rFonts w:hint="eastAsia" w:ascii="宋体" w:hAnsi="宋体" w:eastAsia="宋体" w:cs="宋体"/>
          <w:color w:val="auto"/>
          <w:sz w:val="24"/>
          <w:szCs w:val="24"/>
          <w:highlight w:val="none"/>
          <w:lang w:val="en-US" w:eastAsia="zh-CN"/>
        </w:rPr>
        <w:t>王先生</w:t>
      </w:r>
    </w:p>
    <w:p w14:paraId="79BE35CA">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r>
        <w:rPr>
          <w:rFonts w:hint="eastAsia" w:ascii="宋体" w:hAnsi="宋体" w:eastAsia="宋体" w:cs="宋体"/>
          <w:color w:val="auto"/>
          <w:sz w:val="24"/>
          <w:szCs w:val="24"/>
          <w:highlight w:val="none"/>
          <w:lang w:val="en-US" w:eastAsia="zh-CN"/>
        </w:rPr>
        <w:t>18796592966</w:t>
      </w:r>
    </w:p>
    <w:p w14:paraId="7188AD57">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2.采购代理机构信息</w:t>
      </w:r>
    </w:p>
    <w:p w14:paraId="1976D364">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江苏策诚工程咨询有限公司</w:t>
      </w:r>
    </w:p>
    <w:p w14:paraId="3EB62755">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单位地址：</w:t>
      </w:r>
      <w:r>
        <w:rPr>
          <w:rFonts w:hint="eastAsia" w:ascii="宋体" w:hAnsi="宋体" w:eastAsia="宋体" w:cs="宋体"/>
          <w:color w:val="auto"/>
          <w:sz w:val="24"/>
          <w:highlight w:val="none"/>
          <w:lang w:eastAsia="zh-CN"/>
        </w:rPr>
        <w:t>东台市唯诚大厦20层</w:t>
      </w:r>
    </w:p>
    <w:p w14:paraId="193C1C48">
      <w:pPr>
        <w:pageBreakBefore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张先生</w:t>
      </w:r>
    </w:p>
    <w:p w14:paraId="6B2C02E6">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17851635261</w:t>
      </w:r>
      <w:r>
        <w:rPr>
          <w:rFonts w:hint="eastAsia" w:ascii="宋体" w:hAnsi="宋体" w:eastAsia="宋体" w:cs="宋体"/>
          <w:color w:val="auto"/>
          <w:sz w:val="24"/>
          <w:szCs w:val="24"/>
          <w:highlight w:val="none"/>
        </w:rPr>
        <w:t xml:space="preserve">  </w:t>
      </w:r>
    </w:p>
    <w:p w14:paraId="0394D13A">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26D93E1C">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张</w:t>
      </w:r>
      <w:r>
        <w:rPr>
          <w:rFonts w:hint="eastAsia" w:ascii="宋体" w:hAnsi="宋体" w:eastAsia="宋体" w:cs="宋体"/>
          <w:color w:val="auto"/>
          <w:sz w:val="24"/>
          <w:szCs w:val="24"/>
          <w:highlight w:val="none"/>
        </w:rPr>
        <w:t>先生</w:t>
      </w:r>
    </w:p>
    <w:p w14:paraId="12DD7A08">
      <w:pPr>
        <w:pageBreakBefore w:val="0"/>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eastAsia="zh-CN"/>
        </w:rPr>
        <w:t>17851635261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page" w:clear="all"/>
      </w:r>
      <w:bookmarkStart w:id="32" w:name="_Toc120614211"/>
    </w:p>
    <w:p w14:paraId="6913D14B">
      <w:pPr>
        <w:pStyle w:val="33"/>
        <w:keepNext/>
        <w:keepLines/>
        <w:pageBreakBefore w:val="0"/>
        <w:widowControl w:val="0"/>
        <w:spacing w:beforeAutospacing="0" w:afterAutospacing="0" w:line="360" w:lineRule="auto"/>
        <w:jc w:val="center"/>
        <w:rPr>
          <w:color w:val="auto"/>
          <w:highlight w:val="none"/>
        </w:rPr>
      </w:pPr>
      <w:r>
        <w:rPr>
          <w:rFonts w:hint="eastAsia" w:ascii="黑体" w:hAnsi="宋体" w:eastAsia="黑体" w:cs="黑体"/>
          <w:b/>
          <w:color w:val="auto"/>
          <w:sz w:val="44"/>
          <w:szCs w:val="44"/>
          <w:highlight w:val="none"/>
        </w:rPr>
        <w:t xml:space="preserve">第二章  </w:t>
      </w:r>
      <w:bookmarkEnd w:id="32"/>
      <w:bookmarkStart w:id="33" w:name="_Toc20823274"/>
      <w:bookmarkStart w:id="34" w:name="_Toc120614213"/>
      <w:bookmarkStart w:id="35" w:name="_Toc513029202"/>
      <w:bookmarkStart w:id="36" w:name="_Toc16938518"/>
      <w:r>
        <w:rPr>
          <w:rFonts w:hint="eastAsia" w:ascii="黑体" w:hAnsi="宋体" w:eastAsia="黑体" w:cs="黑体"/>
          <w:b/>
          <w:color w:val="auto"/>
          <w:sz w:val="44"/>
          <w:szCs w:val="44"/>
          <w:highlight w:val="none"/>
        </w:rPr>
        <w:t>投标人须知</w:t>
      </w:r>
      <w:bookmarkEnd w:id="33"/>
      <w:bookmarkEnd w:id="34"/>
      <w:bookmarkEnd w:id="35"/>
      <w:bookmarkEnd w:id="36"/>
    </w:p>
    <w:p w14:paraId="122060B7">
      <w:pPr>
        <w:pStyle w:val="33"/>
        <w:keepNext/>
        <w:keepLines/>
        <w:pageBreakBefore w:val="0"/>
        <w:widowControl w:val="0"/>
        <w:spacing w:beforeAutospacing="0" w:afterAutospacing="0" w:line="360" w:lineRule="auto"/>
        <w:ind w:left="0" w:firstLine="482"/>
        <w:jc w:val="both"/>
        <w:rPr>
          <w:rFonts w:hint="eastAsia" w:ascii="宋体" w:hAnsi="宋体" w:eastAsia="宋体" w:cs="宋体"/>
          <w:color w:val="auto"/>
          <w:sz w:val="24"/>
          <w:szCs w:val="24"/>
          <w:highlight w:val="none"/>
        </w:rPr>
      </w:pPr>
      <w:bookmarkStart w:id="37" w:name="_Toc120614214"/>
      <w:bookmarkStart w:id="38" w:name="_Toc20823275"/>
      <w:bookmarkStart w:id="39" w:name="_Toc16938519"/>
      <w:bookmarkStart w:id="40" w:name="_Toc513029203"/>
      <w:r>
        <w:rPr>
          <w:rFonts w:hint="eastAsia" w:ascii="宋体" w:hAnsi="宋体" w:eastAsia="宋体" w:cs="宋体"/>
          <w:b/>
          <w:color w:val="auto"/>
          <w:sz w:val="24"/>
          <w:szCs w:val="24"/>
          <w:highlight w:val="none"/>
        </w:rPr>
        <w:t>一、总则</w:t>
      </w:r>
      <w:bookmarkEnd w:id="37"/>
      <w:bookmarkEnd w:id="38"/>
      <w:bookmarkEnd w:id="39"/>
      <w:bookmarkEnd w:id="40"/>
    </w:p>
    <w:p w14:paraId="1B52EE87">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41" w:name="_Toc20823276"/>
      <w:bookmarkStart w:id="42" w:name="_Toc513029204"/>
      <w:bookmarkStart w:id="43" w:name="_Toc16938520"/>
      <w:bookmarkStart w:id="44" w:name="_Toc458694821"/>
      <w:bookmarkStart w:id="45" w:name="_Hlt16619475"/>
      <w:r>
        <w:rPr>
          <w:rFonts w:hint="eastAsia" w:ascii="宋体" w:hAnsi="宋体" w:eastAsia="宋体" w:cs="宋体"/>
          <w:b/>
          <w:bCs/>
          <w:color w:val="auto"/>
          <w:sz w:val="24"/>
          <w:szCs w:val="24"/>
          <w:highlight w:val="none"/>
        </w:rPr>
        <w:t>1</w:t>
      </w:r>
      <w:bookmarkEnd w:id="41"/>
      <w:r>
        <w:rPr>
          <w:rFonts w:hint="eastAsia" w:ascii="宋体" w:hAnsi="宋体" w:eastAsia="宋体" w:cs="宋体"/>
          <w:b/>
          <w:bCs/>
          <w:color w:val="auto"/>
          <w:sz w:val="24"/>
          <w:szCs w:val="24"/>
          <w:highlight w:val="none"/>
        </w:rPr>
        <w:t>、招标方式</w:t>
      </w:r>
      <w:bookmarkEnd w:id="42"/>
      <w:bookmarkEnd w:id="43"/>
      <w:bookmarkEnd w:id="44"/>
    </w:p>
    <w:p w14:paraId="41190CE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21149009">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46" w:name="_Toc513029205"/>
      <w:bookmarkStart w:id="47" w:name="_Toc20823277"/>
      <w:bookmarkStart w:id="48" w:name="_Toc16938521"/>
      <w:r>
        <w:rPr>
          <w:rFonts w:hint="eastAsia" w:ascii="宋体" w:hAnsi="宋体" w:eastAsia="宋体" w:cs="宋体"/>
          <w:b/>
          <w:bCs/>
          <w:color w:val="auto"/>
          <w:sz w:val="24"/>
          <w:szCs w:val="24"/>
          <w:highlight w:val="none"/>
        </w:rPr>
        <w:t>2、合格的投标人</w:t>
      </w:r>
      <w:bookmarkEnd w:id="46"/>
      <w:bookmarkEnd w:id="47"/>
      <w:bookmarkEnd w:id="48"/>
    </w:p>
    <w:p w14:paraId="0DF2A9CC">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满足招标公告中供应商的资格要求的规定。</w:t>
      </w:r>
    </w:p>
    <w:p w14:paraId="54695460">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14:paraId="06E45D7E">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49" w:name="_Toc16938522"/>
      <w:bookmarkStart w:id="50" w:name="_Toc20823278"/>
      <w:bookmarkStart w:id="51" w:name="_Toc513029206"/>
      <w:r>
        <w:rPr>
          <w:rFonts w:hint="eastAsia" w:ascii="宋体" w:hAnsi="宋体" w:eastAsia="宋体" w:cs="宋体"/>
          <w:b/>
          <w:bCs/>
          <w:color w:val="auto"/>
          <w:sz w:val="24"/>
          <w:szCs w:val="24"/>
          <w:highlight w:val="none"/>
        </w:rPr>
        <w:t>3、适用法律</w:t>
      </w:r>
      <w:bookmarkEnd w:id="49"/>
      <w:bookmarkEnd w:id="50"/>
      <w:bookmarkEnd w:id="51"/>
    </w:p>
    <w:p w14:paraId="161EF6D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54629B4">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52" w:name="_Toc462564067"/>
      <w:bookmarkStart w:id="53" w:name="_Toc513029207"/>
      <w:bookmarkStart w:id="54" w:name="_Toc20823279"/>
      <w:bookmarkStart w:id="55" w:name="_Toc16938523"/>
      <w:r>
        <w:rPr>
          <w:rFonts w:hint="eastAsia" w:ascii="宋体" w:hAnsi="宋体" w:eastAsia="宋体" w:cs="宋体"/>
          <w:b/>
          <w:bCs/>
          <w:color w:val="auto"/>
          <w:sz w:val="24"/>
          <w:szCs w:val="24"/>
          <w:highlight w:val="none"/>
        </w:rPr>
        <w:t>4、投标费用</w:t>
      </w:r>
      <w:bookmarkEnd w:id="52"/>
      <w:bookmarkEnd w:id="53"/>
      <w:bookmarkEnd w:id="54"/>
      <w:bookmarkEnd w:id="55"/>
    </w:p>
    <w:p w14:paraId="490A9FE0">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投标人应自行承担所有与参加投标有关的费用，无论投标过程中的做法和结果如何，采购人在任何情况下均无义务和责任承担这些费用。</w:t>
      </w:r>
    </w:p>
    <w:p w14:paraId="119B4F10">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5、招标文件的约束力</w:t>
      </w:r>
    </w:p>
    <w:p w14:paraId="31BD6ED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14:paraId="077395E6">
      <w:pPr>
        <w:pStyle w:val="33"/>
        <w:keepNext/>
        <w:keepLines/>
        <w:pageBreakBefore w:val="0"/>
        <w:widowControl w:val="0"/>
        <w:spacing w:beforeAutospacing="0" w:afterAutospacing="0" w:line="360" w:lineRule="auto"/>
        <w:ind w:left="0" w:firstLine="482"/>
        <w:jc w:val="both"/>
        <w:rPr>
          <w:rFonts w:hint="eastAsia" w:ascii="宋体" w:hAnsi="宋体" w:eastAsia="宋体" w:cs="宋体"/>
          <w:color w:val="auto"/>
          <w:sz w:val="24"/>
          <w:szCs w:val="24"/>
          <w:highlight w:val="none"/>
        </w:rPr>
      </w:pPr>
      <w:bookmarkStart w:id="56" w:name="_Toc120614215"/>
      <w:bookmarkStart w:id="57" w:name="_Toc513029209"/>
      <w:bookmarkStart w:id="58" w:name="_Toc20823281"/>
      <w:bookmarkStart w:id="59" w:name="_Toc16938525"/>
      <w:r>
        <w:rPr>
          <w:rFonts w:hint="eastAsia" w:ascii="宋体" w:hAnsi="宋体" w:eastAsia="宋体" w:cs="宋体"/>
          <w:b/>
          <w:color w:val="auto"/>
          <w:sz w:val="24"/>
          <w:szCs w:val="24"/>
          <w:highlight w:val="none"/>
        </w:rPr>
        <w:t>二、招标文件</w:t>
      </w:r>
      <w:bookmarkEnd w:id="56"/>
      <w:bookmarkEnd w:id="57"/>
      <w:bookmarkEnd w:id="58"/>
      <w:bookmarkEnd w:id="59"/>
    </w:p>
    <w:p w14:paraId="5CFB62DA">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60" w:name="_Toc20823282"/>
      <w:bookmarkStart w:id="61" w:name="_Toc513029210"/>
      <w:bookmarkStart w:id="62" w:name="_Toc16938526"/>
      <w:r>
        <w:rPr>
          <w:rFonts w:hint="eastAsia" w:ascii="宋体" w:hAnsi="宋体" w:eastAsia="宋体" w:cs="宋体"/>
          <w:b/>
          <w:bCs/>
          <w:color w:val="auto"/>
          <w:sz w:val="24"/>
          <w:szCs w:val="24"/>
          <w:highlight w:val="none"/>
        </w:rPr>
        <w:t>6、招标文件构成</w:t>
      </w:r>
      <w:bookmarkEnd w:id="60"/>
      <w:bookmarkEnd w:id="61"/>
      <w:bookmarkEnd w:id="62"/>
    </w:p>
    <w:p w14:paraId="2EA34B94">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651B9BCD">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6F387744">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35ED3F83">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13BEAC24">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16AC3F2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1EC6A6FC">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5153195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联系解决。</w:t>
      </w:r>
    </w:p>
    <w:p w14:paraId="0C285FE7">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4DCFA4C">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63" w:name="_Toc16938527"/>
      <w:bookmarkStart w:id="64" w:name="_Toc513029211"/>
      <w:bookmarkStart w:id="65" w:name="_Toc20823283"/>
      <w:bookmarkStart w:id="66" w:name="_Toc462564070"/>
      <w:r>
        <w:rPr>
          <w:rFonts w:hint="eastAsia" w:ascii="宋体" w:hAnsi="宋体" w:eastAsia="宋体" w:cs="宋体"/>
          <w:b/>
          <w:bCs/>
          <w:color w:val="auto"/>
          <w:sz w:val="24"/>
          <w:szCs w:val="24"/>
          <w:highlight w:val="none"/>
        </w:rPr>
        <w:t>7、招标文件的澄清</w:t>
      </w:r>
      <w:bookmarkEnd w:id="63"/>
      <w:bookmarkEnd w:id="64"/>
      <w:bookmarkEnd w:id="65"/>
      <w:bookmarkEnd w:id="66"/>
    </w:p>
    <w:p w14:paraId="51B6D7D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p>
    <w:p w14:paraId="3B97F953">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67" w:name="_Toc16938528"/>
      <w:bookmarkStart w:id="68" w:name="_Toc462564071"/>
      <w:bookmarkStart w:id="69" w:name="_Toc20823284"/>
      <w:bookmarkStart w:id="70" w:name="_Toc513029212"/>
      <w:r>
        <w:rPr>
          <w:rFonts w:hint="eastAsia" w:ascii="宋体" w:hAnsi="宋体" w:eastAsia="宋体" w:cs="宋体"/>
          <w:b/>
          <w:bCs/>
          <w:color w:val="auto"/>
          <w:sz w:val="24"/>
          <w:szCs w:val="24"/>
          <w:highlight w:val="none"/>
        </w:rPr>
        <w:t>8、招标文件的修改</w:t>
      </w:r>
      <w:bookmarkEnd w:id="67"/>
      <w:bookmarkEnd w:id="68"/>
      <w:bookmarkEnd w:id="69"/>
      <w:bookmarkEnd w:id="70"/>
    </w:p>
    <w:p w14:paraId="766E7F4A">
      <w:pPr>
        <w:spacing w:line="360" w:lineRule="auto"/>
        <w:ind w:firstLine="480"/>
        <w:jc w:val="left"/>
        <w:rPr>
          <w:rFonts w:ascii="宋体" w:hAnsi="宋体" w:eastAsia="宋体" w:cs="宋体"/>
          <w:color w:val="auto"/>
          <w:sz w:val="24"/>
          <w:highlight w:val="none"/>
        </w:rPr>
      </w:pPr>
      <w:bookmarkStart w:id="71" w:name="_Toc462564072"/>
      <w:bookmarkStart w:id="72" w:name="_Toc20823285"/>
      <w:bookmarkStart w:id="73" w:name="_Toc513029213"/>
      <w:bookmarkStart w:id="74" w:name="_Toc120614216"/>
      <w:bookmarkStart w:id="75" w:name="_Toc16938529"/>
      <w:r>
        <w:rPr>
          <w:rFonts w:hint="eastAsia" w:ascii="宋体" w:hAnsi="宋体" w:eastAsia="宋体" w:cs="宋体"/>
          <w:color w:val="auto"/>
          <w:sz w:val="24"/>
          <w:highlight w:val="none"/>
        </w:rPr>
        <w:t>8.1在投标截止时间前，</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lang w:val="en-US" w:eastAsia="zh-CN"/>
        </w:rPr>
        <w:t>或委托的代理机构</w:t>
      </w:r>
      <w:r>
        <w:rPr>
          <w:rFonts w:hint="eastAsia" w:ascii="宋体" w:hAnsi="宋体" w:eastAsia="宋体" w:cs="宋体"/>
          <w:color w:val="auto"/>
          <w:sz w:val="24"/>
          <w:highlight w:val="none"/>
        </w:rPr>
        <w:t>可以对招标文件进行修改。</w:t>
      </w:r>
    </w:p>
    <w:p w14:paraId="5A2A93B4">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8.2</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lang w:val="en-US" w:eastAsia="zh-CN"/>
        </w:rPr>
        <w:t>或委托的代理机构</w:t>
      </w:r>
      <w:r>
        <w:rPr>
          <w:rFonts w:hint="eastAsia" w:ascii="宋体" w:hAnsi="宋体" w:eastAsia="宋体" w:cs="宋体"/>
          <w:color w:val="auto"/>
          <w:sz w:val="24"/>
          <w:highlight w:val="none"/>
        </w:rPr>
        <w:t>有权按照法定的要求推迟投标截止日期和开标日期。</w:t>
      </w:r>
    </w:p>
    <w:p w14:paraId="05E2BAFE">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8.3招标文件的修改将在“中国政府采购网、江苏政府采购网、盐城市政府采购网”公布，补充文件将作为招标文件的组成部分，并对投标人具有约束力。</w:t>
      </w:r>
    </w:p>
    <w:p w14:paraId="489A92F2">
      <w:pPr>
        <w:pStyle w:val="33"/>
        <w:keepNext/>
        <w:keepLines/>
        <w:pageBreakBefore w:val="0"/>
        <w:widowControl w:val="0"/>
        <w:spacing w:beforeAutospacing="0" w:afterAutospacing="0" w:line="360" w:lineRule="auto"/>
        <w:ind w:lef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三、投标文件的编制</w:t>
      </w:r>
      <w:bookmarkEnd w:id="71"/>
      <w:bookmarkEnd w:id="72"/>
      <w:bookmarkEnd w:id="73"/>
      <w:bookmarkEnd w:id="74"/>
      <w:bookmarkEnd w:id="75"/>
    </w:p>
    <w:p w14:paraId="0D63DDFA">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76" w:name="_Toc513029214"/>
      <w:bookmarkStart w:id="77" w:name="_Toc20823286"/>
      <w:bookmarkStart w:id="78" w:name="_Toc16938530"/>
      <w:bookmarkStart w:id="79" w:name="_Toc462564073"/>
      <w:r>
        <w:rPr>
          <w:rFonts w:hint="eastAsia" w:ascii="宋体" w:hAnsi="宋体" w:eastAsia="宋体" w:cs="宋体"/>
          <w:b/>
          <w:bCs/>
          <w:color w:val="auto"/>
          <w:sz w:val="24"/>
          <w:szCs w:val="24"/>
          <w:highlight w:val="none"/>
        </w:rPr>
        <w:t>9、投标文件的语言及度量衡单位</w:t>
      </w:r>
      <w:bookmarkEnd w:id="76"/>
      <w:bookmarkEnd w:id="77"/>
      <w:bookmarkEnd w:id="78"/>
      <w:bookmarkEnd w:id="79"/>
    </w:p>
    <w:p w14:paraId="5980DDCC">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投标人提交的投标文件以及投标人与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579B740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除技术性能另有规定外，投标文件所使用的度量衡单位，均须采用国家法定计量单位。</w:t>
      </w:r>
    </w:p>
    <w:p w14:paraId="1F0154D2">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80" w:name="_Toc16938531"/>
      <w:bookmarkStart w:id="81" w:name="_Toc462564074"/>
      <w:bookmarkStart w:id="82" w:name="_Toc20823287"/>
      <w:bookmarkStart w:id="83" w:name="_Toc513029215"/>
      <w:r>
        <w:rPr>
          <w:rFonts w:hint="eastAsia" w:ascii="宋体" w:hAnsi="宋体" w:eastAsia="宋体" w:cs="宋体"/>
          <w:b/>
          <w:bCs/>
          <w:color w:val="auto"/>
          <w:sz w:val="24"/>
          <w:szCs w:val="24"/>
          <w:highlight w:val="none"/>
        </w:rPr>
        <w:t>10、投标文件构成</w:t>
      </w:r>
      <w:bookmarkEnd w:id="80"/>
      <w:bookmarkEnd w:id="81"/>
      <w:bookmarkEnd w:id="82"/>
      <w:bookmarkEnd w:id="83"/>
    </w:p>
    <w:p w14:paraId="45176D3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投标人编写的投标文件应包括资格证明文件、符合性证明文件、投标分项报价表、技术要求响应及偏离表、商务要求响应及偏离表、其他证明文件、投标函、开标一览表等部分。</w:t>
      </w:r>
    </w:p>
    <w:p w14:paraId="1AAAAC5B">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发布的招标文件不一致，请以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发布的招标文件为准。</w:t>
      </w:r>
    </w:p>
    <w:p w14:paraId="2B921EAA">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84" w:name="_Toc49090508"/>
      <w:bookmarkStart w:id="85" w:name="_Toc49090509"/>
      <w:bookmarkStart w:id="86" w:name="_Toc14577355"/>
      <w:bookmarkStart w:id="87" w:name="_Toc49090507"/>
      <w:bookmarkStart w:id="88" w:name="_Toc14577354"/>
      <w:bookmarkStart w:id="89" w:name="_Toc513029219"/>
      <w:bookmarkStart w:id="90" w:name="_Toc14577357"/>
      <w:bookmarkStart w:id="91" w:name="_Toc513029216"/>
      <w:bookmarkStart w:id="92" w:name="_Hlt26954838"/>
      <w:bookmarkStart w:id="93" w:name="_Hlt26670360"/>
      <w:bookmarkStart w:id="94" w:name="_Hlt26668975"/>
      <w:r>
        <w:rPr>
          <w:rFonts w:hint="eastAsia" w:ascii="宋体" w:hAnsi="宋体" w:eastAsia="宋体" w:cs="宋体"/>
          <w:b/>
          <w:bCs/>
          <w:color w:val="auto"/>
          <w:sz w:val="24"/>
          <w:szCs w:val="24"/>
          <w:highlight w:val="none"/>
        </w:rPr>
        <w:t>11、证明投标人及投标标的符合招标文件规定的文件</w:t>
      </w:r>
      <w:bookmarkEnd w:id="84"/>
      <w:bookmarkEnd w:id="85"/>
      <w:bookmarkEnd w:id="86"/>
      <w:bookmarkEnd w:id="87"/>
      <w:bookmarkEnd w:id="88"/>
      <w:bookmarkEnd w:id="89"/>
      <w:bookmarkEnd w:id="90"/>
      <w:bookmarkEnd w:id="91"/>
    </w:p>
    <w:p w14:paraId="57822DC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投标人应按照招标文件要求提交证明文件，证明其及投标标的符合招标文件规定。</w:t>
      </w:r>
    </w:p>
    <w:p w14:paraId="5E52A19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招标文件对证明文件无明确形式要求的，证明文件可以以文字资料、图纸和数据等形式提交。</w:t>
      </w:r>
    </w:p>
    <w:p w14:paraId="45CF4CD4">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12、投标分项报价表</w:t>
      </w:r>
    </w:p>
    <w:p w14:paraId="6BB0743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投标人应按照招标文件规定格式填报投标分项报价表。</w:t>
      </w:r>
    </w:p>
    <w:p w14:paraId="62CAD6B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投标货币。投标文件中的单价和总价无特殊规定的采用人民币报价，以元为单位标注。招标文件中另有规定的按规定执行。</w:t>
      </w:r>
    </w:p>
    <w:p w14:paraId="38F3B9BE">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95" w:name="_Hlt26670486"/>
      <w:bookmarkStart w:id="96" w:name="_Hlt26954848"/>
      <w:bookmarkStart w:id="97" w:name="_Hlt26954846"/>
      <w:bookmarkStart w:id="98" w:name="_Hlt26670482"/>
      <w:bookmarkStart w:id="99" w:name="_Hlt26954731"/>
      <w:r>
        <w:rPr>
          <w:rFonts w:hint="eastAsia" w:ascii="宋体" w:hAnsi="宋体" w:eastAsia="宋体" w:cs="宋体"/>
          <w:b/>
          <w:bCs/>
          <w:color w:val="auto"/>
          <w:sz w:val="24"/>
          <w:szCs w:val="24"/>
          <w:highlight w:val="none"/>
        </w:rPr>
        <w:t>13、技术要求响应及偏离表、商务要求响应及偏离表</w:t>
      </w:r>
    </w:p>
    <w:p w14:paraId="2BE89BE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投标人需对招标文件中的技术要求与商务要求逐项作出响应或偏离，并说明原因。</w:t>
      </w:r>
    </w:p>
    <w:p w14:paraId="48359C7D">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投标人可在投标文件中提供认为需要的其他技术文件或说明。</w:t>
      </w:r>
    </w:p>
    <w:p w14:paraId="3CD4ADEE">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14、服务承诺、培训计划、人员安排及其他</w:t>
      </w:r>
    </w:p>
    <w:p w14:paraId="32E79DCE">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投标人需根据招标文件要求提供有关售后服务的管理制度，售后服务机构的分布情况，售后服务人员的数量、素质、技术水平及售后服务的反应能力等。</w:t>
      </w:r>
    </w:p>
    <w:p w14:paraId="217725F4">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投标人需根据招标文件要求提供培训计划。</w:t>
      </w:r>
    </w:p>
    <w:p w14:paraId="1C65FB8C">
      <w:pPr>
        <w:pStyle w:val="33"/>
        <w:pageBreakBefore w:val="0"/>
        <w:widowControl w:val="0"/>
        <w:spacing w:beforeAutospacing="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投标人需根据招标文件要求提供所投标的的主要组成部分、功能设计、实现思路及关键技术等。</w:t>
      </w:r>
    </w:p>
    <w:p w14:paraId="55853996">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100" w:name="_Toc49090510"/>
      <w:bookmarkStart w:id="101" w:name="_Toc14577359"/>
      <w:r>
        <w:rPr>
          <w:rFonts w:hint="eastAsia" w:ascii="宋体" w:hAnsi="宋体" w:eastAsia="宋体" w:cs="宋体"/>
          <w:b/>
          <w:bCs/>
          <w:color w:val="auto"/>
          <w:sz w:val="24"/>
          <w:szCs w:val="24"/>
          <w:highlight w:val="none"/>
        </w:rPr>
        <w:t>15、投标函和开标一览表</w:t>
      </w:r>
      <w:bookmarkEnd w:id="100"/>
      <w:bookmarkEnd w:id="101"/>
    </w:p>
    <w:p w14:paraId="429A543F">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投标人应按照招标文件中提供的格式完整、正确填写投标函、开标一览表。</w:t>
      </w:r>
    </w:p>
    <w:p w14:paraId="02089DEC">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4D075CC8">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102" w:name="_Toc14577360"/>
      <w:bookmarkStart w:id="103" w:name="_Toc49090511"/>
      <w:r>
        <w:rPr>
          <w:rFonts w:hint="eastAsia" w:ascii="宋体" w:hAnsi="宋体" w:eastAsia="宋体" w:cs="宋体"/>
          <w:b/>
          <w:bCs/>
          <w:color w:val="auto"/>
          <w:sz w:val="24"/>
          <w:szCs w:val="24"/>
          <w:highlight w:val="none"/>
        </w:rPr>
        <w:t>16、投标有效期</w:t>
      </w:r>
      <w:bookmarkEnd w:id="102"/>
      <w:bookmarkEnd w:id="103"/>
    </w:p>
    <w:p w14:paraId="3A9D655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16.1投标有效期为开标之日后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。投标有效期比规定短的将被视为未实质性响应招标文件而予以拒绝。</w:t>
      </w:r>
    </w:p>
    <w:p w14:paraId="5EE70197">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17、投标有效期的延长</w:t>
      </w:r>
    </w:p>
    <w:p w14:paraId="1E8D1D03">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bookmarkStart w:id="104" w:name="_Toc20823296"/>
      <w:bookmarkStart w:id="105" w:name="_Toc16938540"/>
      <w:bookmarkStart w:id="106" w:name="_Toc513029224"/>
      <w:bookmarkStart w:id="107" w:name="_Toc120614217"/>
      <w:bookmarkStart w:id="108" w:name="_Hlt26954739"/>
      <w:bookmarkStart w:id="109" w:name="_Hlt26954852"/>
      <w:r>
        <w:rPr>
          <w:rFonts w:hint="eastAsia" w:ascii="宋体" w:hAnsi="宋体" w:eastAsia="宋体" w:cs="宋体"/>
          <w:color w:val="auto"/>
          <w:sz w:val="24"/>
          <w:szCs w:val="24"/>
          <w:highlight w:val="none"/>
        </w:rPr>
        <w:t>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22B28208">
      <w:pPr>
        <w:pStyle w:val="33"/>
        <w:keepNext/>
        <w:keepLines/>
        <w:pageBreakBefore w:val="0"/>
        <w:widowControl w:val="0"/>
        <w:spacing w:beforeAutospacing="0" w:afterAutospacing="0" w:line="360" w:lineRule="auto"/>
        <w:ind w:lef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四、投标文件的递交</w:t>
      </w:r>
      <w:bookmarkEnd w:id="104"/>
      <w:bookmarkEnd w:id="105"/>
      <w:bookmarkEnd w:id="106"/>
      <w:bookmarkEnd w:id="107"/>
    </w:p>
    <w:p w14:paraId="161F9038">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110" w:name="_Toc20823297"/>
      <w:bookmarkStart w:id="111" w:name="_Toc513029225"/>
      <w:bookmarkStart w:id="112" w:name="_Toc462564084"/>
      <w:bookmarkStart w:id="113" w:name="_Toc16938541"/>
      <w:r>
        <w:rPr>
          <w:rFonts w:hint="eastAsia" w:ascii="宋体" w:hAnsi="宋体" w:eastAsia="宋体" w:cs="宋体"/>
          <w:b/>
          <w:bCs/>
          <w:color w:val="auto"/>
          <w:sz w:val="24"/>
          <w:szCs w:val="24"/>
          <w:highlight w:val="none"/>
        </w:rPr>
        <w:t>18、电子投标文件</w:t>
      </w:r>
      <w:bookmarkEnd w:id="110"/>
      <w:bookmarkEnd w:id="111"/>
      <w:bookmarkEnd w:id="112"/>
      <w:bookmarkEnd w:id="113"/>
      <w:r>
        <w:rPr>
          <w:rFonts w:hint="eastAsia" w:ascii="宋体" w:hAnsi="宋体" w:eastAsia="宋体" w:cs="宋体"/>
          <w:b/>
          <w:bCs/>
          <w:color w:val="auto"/>
          <w:sz w:val="24"/>
          <w:szCs w:val="24"/>
          <w:highlight w:val="none"/>
        </w:rPr>
        <w:t>的递交</w:t>
      </w:r>
    </w:p>
    <w:p w14:paraId="1537AE3D">
      <w:pPr>
        <w:pStyle w:val="33"/>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18.1投标人应当按照《操作手册》规定，在投标截止时间前制作并上传电子投标文件。</w:t>
      </w:r>
      <w:bookmarkStart w:id="114" w:name="_Toc16938542"/>
      <w:bookmarkEnd w:id="114"/>
      <w:bookmarkStart w:id="115" w:name="_Toc20823298"/>
      <w:bookmarkEnd w:id="115"/>
      <w:bookmarkStart w:id="116" w:name="_Toc513029226"/>
    </w:p>
    <w:p w14:paraId="0D939DF2">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19、投标截止日期</w:t>
      </w:r>
    </w:p>
    <w:p w14:paraId="169E1C4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 投标人上传电子投标文件的时间不得迟于招标公告中规定的投标截止时间。</w:t>
      </w:r>
    </w:p>
    <w:p w14:paraId="49271C25">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投标人应充分考虑到网络环境、网络带宽等风险因素，如因投标人自身原因造成的电子投标文件上传不成功的按照本招标文件第二章第27.1.2条规定做无效投标处理。</w:t>
      </w:r>
    </w:p>
    <w:p w14:paraId="15750CAF">
      <w:pPr>
        <w:spacing w:line="360" w:lineRule="auto"/>
        <w:ind w:firstLine="480"/>
        <w:rPr>
          <w:rFonts w:hint="eastAsia" w:ascii="宋体" w:hAnsi="宋体" w:cs="宋体"/>
          <w:color w:val="auto"/>
          <w:sz w:val="24"/>
          <w:highlight w:val="none"/>
        </w:rPr>
      </w:pPr>
      <w:bookmarkStart w:id="117" w:name="_Toc16938543"/>
      <w:bookmarkStart w:id="118" w:name="_Toc513029227"/>
      <w:bookmarkStart w:id="119" w:name="_Toc20823299"/>
      <w:r>
        <w:rPr>
          <w:rFonts w:hint="eastAsia" w:ascii="宋体" w:hAnsi="宋体" w:cs="宋体"/>
          <w:color w:val="auto"/>
          <w:sz w:val="24"/>
          <w:highlight w:val="none"/>
        </w:rPr>
        <w:t>19.2 采购人可以按照规定，通过修改招标文件酌情延长投标截止日期，在此情况下，投标人的所有权利和义务以及投标人受制的截止日期均应以延长后新的截止日期为准。</w:t>
      </w:r>
    </w:p>
    <w:p w14:paraId="1DE48721">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20、投标文件</w:t>
      </w:r>
      <w:bookmarkEnd w:id="117"/>
      <w:bookmarkEnd w:id="118"/>
      <w:bookmarkEnd w:id="119"/>
      <w:r>
        <w:rPr>
          <w:rFonts w:hint="eastAsia" w:ascii="宋体" w:hAnsi="宋体" w:eastAsia="宋体" w:cs="宋体"/>
          <w:b/>
          <w:bCs/>
          <w:color w:val="auto"/>
          <w:sz w:val="24"/>
          <w:szCs w:val="24"/>
          <w:highlight w:val="none"/>
        </w:rPr>
        <w:t>的拒收</w:t>
      </w:r>
    </w:p>
    <w:p w14:paraId="581E80A0">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拒绝接收在其规定的投标截止时间后上传的任何投标文件。</w:t>
      </w:r>
    </w:p>
    <w:p w14:paraId="24C49F96">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120" w:name="_Toc20823300"/>
      <w:bookmarkStart w:id="121" w:name="_Toc16938544"/>
      <w:bookmarkStart w:id="122" w:name="_Toc513029228"/>
      <w:r>
        <w:rPr>
          <w:rFonts w:hint="eastAsia" w:ascii="宋体" w:hAnsi="宋体" w:eastAsia="宋体" w:cs="宋体"/>
          <w:b/>
          <w:bCs/>
          <w:color w:val="auto"/>
          <w:sz w:val="24"/>
          <w:szCs w:val="24"/>
          <w:highlight w:val="none"/>
        </w:rPr>
        <w:t>21、投标文件的撤回和修改</w:t>
      </w:r>
      <w:bookmarkEnd w:id="120"/>
      <w:bookmarkEnd w:id="121"/>
      <w:bookmarkEnd w:id="122"/>
    </w:p>
    <w:p w14:paraId="41DE786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投标文件的撤回</w:t>
      </w:r>
    </w:p>
    <w:p w14:paraId="2765B190">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电子投标文件的撤回</w:t>
      </w:r>
    </w:p>
    <w:p w14:paraId="07738D2A">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3A48CE8C">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 投标人撤回电子投标文件，则认为其不再参与本项目投标活动。</w:t>
      </w:r>
    </w:p>
    <w:p w14:paraId="1BD47923">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投标文件的修改</w:t>
      </w:r>
    </w:p>
    <w:p w14:paraId="57A5F635">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21.2.1投标人可在投标截止时间前，对其电子投标文件进行修改，具体操作方法见《操作手册》。</w:t>
      </w:r>
    </w:p>
    <w:p w14:paraId="5F7DFE27">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21.2.2 在投标截止时间之后，投标人不得对其电子投标文件作任何修改。</w:t>
      </w:r>
    </w:p>
    <w:p w14:paraId="2C89020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在投标截止时间至招标文件中规定的投标有效期满之间的这段时间内，投标人不得撤回其投标。</w:t>
      </w:r>
    </w:p>
    <w:p w14:paraId="0FF7AEB5">
      <w:pPr>
        <w:pStyle w:val="33"/>
        <w:keepNext/>
        <w:keepLines/>
        <w:pageBreakBefore w:val="0"/>
        <w:widowControl w:val="0"/>
        <w:spacing w:beforeAutospacing="0" w:afterAutospacing="0" w:line="360" w:lineRule="auto"/>
        <w:ind w:left="0" w:firstLine="482"/>
        <w:jc w:val="both"/>
        <w:rPr>
          <w:rFonts w:hint="eastAsia" w:ascii="宋体" w:hAnsi="宋体" w:eastAsia="宋体" w:cs="宋体"/>
          <w:color w:val="auto"/>
          <w:sz w:val="24"/>
          <w:szCs w:val="24"/>
          <w:highlight w:val="none"/>
        </w:rPr>
      </w:pPr>
      <w:bookmarkStart w:id="123" w:name="_Toc513029229"/>
      <w:bookmarkStart w:id="124" w:name="_Toc16938545"/>
      <w:bookmarkStart w:id="125" w:name="_Toc20823301"/>
      <w:bookmarkStart w:id="126" w:name="_Toc120614218"/>
      <w:r>
        <w:rPr>
          <w:rFonts w:hint="eastAsia" w:ascii="宋体" w:hAnsi="宋体" w:eastAsia="宋体" w:cs="宋体"/>
          <w:b/>
          <w:color w:val="auto"/>
          <w:sz w:val="24"/>
          <w:szCs w:val="24"/>
          <w:highlight w:val="none"/>
        </w:rPr>
        <w:t>五、开标与评标</w:t>
      </w:r>
      <w:bookmarkEnd w:id="123"/>
      <w:bookmarkEnd w:id="124"/>
      <w:bookmarkEnd w:id="125"/>
      <w:bookmarkEnd w:id="126"/>
    </w:p>
    <w:p w14:paraId="70F8D807">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127" w:name="_Toc513029230"/>
      <w:bookmarkStart w:id="128" w:name="_Toc16938546"/>
      <w:bookmarkStart w:id="129" w:name="_Toc20823302"/>
      <w:r>
        <w:rPr>
          <w:rFonts w:hint="eastAsia" w:ascii="宋体" w:hAnsi="宋体" w:eastAsia="宋体" w:cs="宋体"/>
          <w:b/>
          <w:bCs/>
          <w:color w:val="auto"/>
          <w:sz w:val="24"/>
          <w:szCs w:val="24"/>
          <w:highlight w:val="none"/>
        </w:rPr>
        <w:t>22、开标</w:t>
      </w:r>
      <w:bookmarkEnd w:id="127"/>
      <w:bookmarkEnd w:id="128"/>
      <w:bookmarkEnd w:id="129"/>
    </w:p>
    <w:p w14:paraId="0DE29EA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007A0DE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组织。苏采云系统将自动对项目进行开标，并宣布各投标人名称和投标价格。</w:t>
      </w:r>
    </w:p>
    <w:p w14:paraId="259CB910">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22.3投标人在开标过程中涉及到的投标文件解密、开标结果确认等工作，应按照《操作手册》规定执行。</w:t>
      </w:r>
    </w:p>
    <w:p w14:paraId="2684D593">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苏采云系统中《开标记录表》宣布后5分钟内未提出的，视同认可开标结果。</w:t>
      </w:r>
    </w:p>
    <w:p w14:paraId="4E2DD19D">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130" w:name="_Toc20823303"/>
      <w:bookmarkStart w:id="131" w:name="_Toc513029231"/>
      <w:bookmarkStart w:id="132" w:name="_Toc16938547"/>
      <w:r>
        <w:rPr>
          <w:rFonts w:hint="eastAsia" w:ascii="宋体" w:hAnsi="宋体" w:eastAsia="宋体" w:cs="宋体"/>
          <w:b/>
          <w:bCs/>
          <w:color w:val="auto"/>
          <w:sz w:val="24"/>
          <w:szCs w:val="24"/>
          <w:highlight w:val="none"/>
        </w:rPr>
        <w:t>23、评标委员会</w:t>
      </w:r>
      <w:bookmarkEnd w:id="130"/>
      <w:bookmarkEnd w:id="131"/>
      <w:bookmarkEnd w:id="132"/>
    </w:p>
    <w:p w14:paraId="446FCFA6">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开标后，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将立即组织评标委员会（以下简称评委会）进行评标。</w:t>
      </w:r>
    </w:p>
    <w:p w14:paraId="4434B57A">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评委会由采购人代表和有关技术、经济等方面的专家组成，且人员构成符合政府采购有关规定。</w:t>
      </w:r>
    </w:p>
    <w:p w14:paraId="4DFC017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50E84F96">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24．评标过程的保密与公正</w:t>
      </w:r>
    </w:p>
    <w:p w14:paraId="199200CE">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凡是与审查、澄清、评价和比较投标的有关资料以及授标建议等，采购人、评委、</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委托的代理机构</w:t>
      </w:r>
      <w:r>
        <w:rPr>
          <w:rFonts w:hint="eastAsia" w:ascii="宋体" w:hAnsi="宋体" w:eastAsia="宋体" w:cs="宋体"/>
          <w:color w:val="auto"/>
          <w:sz w:val="24"/>
          <w:szCs w:val="24"/>
          <w:highlight w:val="none"/>
        </w:rPr>
        <w:t>均不得向投标人或与评标无关的其他人员透露。</w:t>
      </w:r>
    </w:p>
    <w:p w14:paraId="01543B6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14:paraId="25220A6D">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7FD2D5CD">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采用综合评分法的项目，未中标的投标人可于中标结果公告期限届满之日起通过苏采云系统查看自己的评审得分及排序情况。</w:t>
      </w:r>
    </w:p>
    <w:p w14:paraId="0556FF3B">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133" w:name="_Toc513029232"/>
      <w:bookmarkStart w:id="134" w:name="_Toc16938548"/>
      <w:bookmarkStart w:id="135" w:name="_Toc20823304"/>
      <w:r>
        <w:rPr>
          <w:rFonts w:hint="eastAsia" w:ascii="宋体" w:hAnsi="宋体" w:eastAsia="宋体" w:cs="宋体"/>
          <w:b/>
          <w:bCs/>
          <w:color w:val="auto"/>
          <w:sz w:val="24"/>
          <w:szCs w:val="24"/>
          <w:highlight w:val="none"/>
        </w:rPr>
        <w:t>25．投标文件的澄清</w:t>
      </w:r>
      <w:bookmarkEnd w:id="133"/>
      <w:bookmarkEnd w:id="134"/>
      <w:bookmarkEnd w:id="135"/>
    </w:p>
    <w:p w14:paraId="548D02DF">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bookmarkStart w:id="136" w:name="_Toc20823305"/>
      <w:bookmarkStart w:id="137" w:name="_Toc513029233"/>
      <w:bookmarkStart w:id="138" w:name="_Toc16938549"/>
      <w:r>
        <w:rPr>
          <w:rFonts w:hint="eastAsia" w:ascii="宋体" w:hAnsi="宋体" w:eastAsia="宋体" w:cs="宋体"/>
          <w:color w:val="auto"/>
          <w:sz w:val="24"/>
          <w:szCs w:val="24"/>
          <w:highlight w:val="none"/>
        </w:rPr>
        <w:t>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评标期间，评委会对投标文件中含义不明确、同类问题表述不一致或者有明显文字和计算错误的内容，有权要求投标人作出必要的澄清、说明或者补正。</w:t>
      </w:r>
      <w:bookmarkEnd w:id="136"/>
      <w:bookmarkEnd w:id="137"/>
      <w:bookmarkEnd w:id="138"/>
    </w:p>
    <w:p w14:paraId="174F46FB">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5BBB13AC">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5E26402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47C292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接到评委会澄清、说明和补正要求的投标人如未按规定</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出澄清、说明和补正，其风险由投标人自行承担。</w:t>
      </w:r>
    </w:p>
    <w:p w14:paraId="2F0788F5">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26、对投标文件的初审</w:t>
      </w:r>
    </w:p>
    <w:p w14:paraId="17169F3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投标文件初审分为资格审查和符合性审查。</w:t>
      </w:r>
    </w:p>
    <w:p w14:paraId="748EE0CB">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资格审查：依据法律法规和招标文件的规定，由采购人对投标文件中的资格证明文件进行审查。资格审查的结论，采购人以书面形式向评委会进行反馈。</w:t>
      </w:r>
    </w:p>
    <w:p w14:paraId="5AF706C6">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607DA1A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E147EFC">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符合性审查：依据招标文件的规定，由评委会从投标文件的有效性、完整性和对招标文件的响应程度进行审查，以确定是否对招标文件的实质性要求作出响应。</w:t>
      </w:r>
    </w:p>
    <w:p w14:paraId="28E9594C">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未通过资格审查或符合性审查的投标人，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将在苏采云系统中告知未通过资格审查或符合性审查的原因，评审结束后，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将不再告知未通过资格审查或符合性审查的原因。</w:t>
      </w:r>
    </w:p>
    <w:p w14:paraId="7CEBD56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781B9017">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423E7F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符</w:t>
      </w:r>
      <w:r>
        <w:rPr>
          <w:rFonts w:hint="eastAsia" w:ascii="宋体" w:hAnsi="宋体" w:eastAsia="宋体" w:cs="宋体"/>
          <w:color w:val="auto"/>
          <w:sz w:val="24"/>
          <w:szCs w:val="24"/>
          <w:highlight w:val="none"/>
        </w:rPr>
        <w:t>合要求的偏离或保留而使其投标成为实质性响应的投标。</w:t>
      </w:r>
    </w:p>
    <w:p w14:paraId="5F03EF90">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26.4评委会将对确定为实质性响应的投标进行进一步审核，看其是否有计算上或累加上的算术错误，修正错误的原则如下：</w:t>
      </w:r>
    </w:p>
    <w:p w14:paraId="13AFAF74">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75A8A543">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2268CEA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7A3E183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1F5D8A90">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2ADBDFBE">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27E01715">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bookmarkStart w:id="139" w:name="_Toc20823306"/>
      <w:bookmarkStart w:id="140" w:name="_Toc16938550"/>
      <w:bookmarkStart w:id="141" w:name="_Toc513029234"/>
      <w:r>
        <w:rPr>
          <w:rFonts w:hint="eastAsia" w:ascii="宋体" w:hAnsi="宋体" w:eastAsia="宋体" w:cs="宋体"/>
          <w:color w:val="auto"/>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bookmarkEnd w:id="140"/>
      <w:bookmarkEnd w:id="141"/>
    </w:p>
    <w:p w14:paraId="73259A8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1E8DE6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非单一产品采购项目，招标文件中将载明其中的核心产品。多家投标人提供的核心产品品牌相同的，按前两款规定处理。</w:t>
      </w:r>
    </w:p>
    <w:p w14:paraId="1AB98CE3">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及评标委员会联系。</w:t>
      </w:r>
    </w:p>
    <w:p w14:paraId="0DFAD925">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27、无效投标条款和废标条款</w:t>
      </w:r>
    </w:p>
    <w:p w14:paraId="62A2B2DF">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bookmarkStart w:id="142" w:name="_Toc16938551"/>
      <w:bookmarkStart w:id="143" w:name="_Toc513029235"/>
      <w:bookmarkStart w:id="144" w:name="_Toc20823307"/>
      <w:r>
        <w:rPr>
          <w:rFonts w:hint="eastAsia" w:ascii="宋体" w:hAnsi="宋体" w:eastAsia="宋体" w:cs="宋体"/>
          <w:color w:val="auto"/>
          <w:sz w:val="24"/>
          <w:szCs w:val="24"/>
          <w:highlight w:val="none"/>
        </w:rPr>
        <w:t>27.1无效投标条款</w:t>
      </w:r>
      <w:bookmarkEnd w:id="142"/>
      <w:bookmarkEnd w:id="143"/>
      <w:bookmarkEnd w:id="144"/>
    </w:p>
    <w:p w14:paraId="51F944C4">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27016F8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6DC1AC46">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27.1.3同一投标人提交两个（含两个）以上不同的投标报价的。</w:t>
      </w:r>
    </w:p>
    <w:p w14:paraId="1F3955FC">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27.1.4投标人不具备招标文件中规定资格要求的。</w:t>
      </w:r>
    </w:p>
    <w:p w14:paraId="11054B3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27.1.5投标人的报价超过了采购预算或最高限价的。</w:t>
      </w:r>
    </w:p>
    <w:p w14:paraId="19D5348D">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27.1.6未通过符合性审查的。</w:t>
      </w:r>
    </w:p>
    <w:p w14:paraId="13435CE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27.1.7不符合招标文件中规定的实质性要求和条件的（</w:t>
      </w:r>
      <w:r>
        <w:rPr>
          <w:rFonts w:hint="eastAsia" w:ascii="宋体" w:hAnsi="宋体" w:eastAsia="宋体" w:cs="宋体"/>
          <w:i/>
          <w:color w:val="auto"/>
          <w:sz w:val="24"/>
          <w:szCs w:val="24"/>
          <w:highlight w:val="none"/>
          <w:u w:val="single"/>
        </w:rPr>
        <w:t>本招标文件中斜体且有下划线部分为实质性要求和条件）。</w:t>
      </w:r>
    </w:p>
    <w:p w14:paraId="0A988DAA">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B9B1E20">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27.1.9 投标文件含有采购人不能接受的附加条件的。</w:t>
      </w:r>
    </w:p>
    <w:p w14:paraId="1807CDB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.1.10投标人不能证明其报价合理性的，评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147FCEEE">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（一）评审过程中出现下列情形之一的，评标委员会应当启动异常低价投标审查程序：</w:t>
      </w:r>
    </w:p>
    <w:p w14:paraId="3A4E03A4">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1.投标报价低于采购项目预算50%的，即投标报价&lt;采购项目预算×50%；</w:t>
      </w:r>
    </w:p>
    <w:p w14:paraId="7742D83A">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2.投标报价低于采购项目最高限价45%的，即投标报价&lt;采购项目最高限价×45%；</w:t>
      </w:r>
    </w:p>
    <w:p w14:paraId="1885A3B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3.评标委员会认定的供应商报价过低、有可能影响产品质量或者不能诚信履约的其他情形。</w:t>
      </w:r>
    </w:p>
    <w:p w14:paraId="76B77FD0">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78DD83DD">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D7CFC05">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投标文件未按照招标文件要求加盖CA电子公章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签字</w:t>
      </w:r>
      <w:r>
        <w:rPr>
          <w:rFonts w:hint="eastAsia" w:ascii="宋体" w:hAnsi="宋体" w:eastAsia="宋体" w:cs="宋体"/>
          <w:color w:val="auto"/>
          <w:sz w:val="24"/>
          <w:szCs w:val="24"/>
          <w:highlight w:val="none"/>
        </w:rPr>
        <w:t>的。</w:t>
      </w:r>
    </w:p>
    <w:p w14:paraId="671EDC0D">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 投标人IP地址、MAC地址、标书编制工具客户端标识码信息一致（以苏彩云系统显示为准）。</w:t>
      </w:r>
    </w:p>
    <w:p w14:paraId="56E3BFB0">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其他法律、法规及本招标文件规定的属无效投标的情形。</w:t>
      </w:r>
    </w:p>
    <w:p w14:paraId="2743E72C">
      <w:pPr>
        <w:pStyle w:val="33"/>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27.2废标条款</w:t>
      </w:r>
      <w:bookmarkStart w:id="199" w:name="_GoBack"/>
      <w:bookmarkEnd w:id="199"/>
    </w:p>
    <w:p w14:paraId="4EF7DF4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w:t>
      </w:r>
    </w:p>
    <w:p w14:paraId="512F2E6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27.2.2出现影响采购公正的违法、违规行为的。</w:t>
      </w:r>
    </w:p>
    <w:p w14:paraId="4BEA9B5B">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219E7D6C">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2A638F3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w:t>
      </w:r>
      <w:r>
        <w:rPr>
          <w:rFonts w:hint="eastAsia" w:ascii="宋体" w:hAnsi="宋体" w:eastAsia="宋体" w:cs="宋体"/>
          <w:color w:val="auto"/>
          <w:sz w:val="24"/>
          <w:szCs w:val="24"/>
          <w:highlight w:val="none"/>
          <w:lang w:eastAsia="zh-CN"/>
        </w:rPr>
        <w:t>系统故障</w:t>
      </w:r>
      <w:r>
        <w:rPr>
          <w:rFonts w:hint="eastAsia" w:ascii="宋体" w:hAnsi="宋体" w:eastAsia="宋体" w:cs="宋体"/>
          <w:color w:val="auto"/>
          <w:sz w:val="24"/>
          <w:szCs w:val="24"/>
          <w:highlight w:val="none"/>
        </w:rPr>
        <w:t>原因造成开标不成功的。</w:t>
      </w:r>
    </w:p>
    <w:p w14:paraId="2515C8C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6FC42EBB">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27.3.1如出现投标截止时间结束后参加投标的供应商或者在评标期间对招标文件做出实质响应的供应商不足三家情况，按政府采购相关规定执行。</w:t>
      </w:r>
    </w:p>
    <w:p w14:paraId="15E35716">
      <w:pPr>
        <w:pStyle w:val="33"/>
        <w:keepNext/>
        <w:keepLines/>
        <w:pageBreakBefore w:val="0"/>
        <w:widowControl w:val="0"/>
        <w:spacing w:beforeAutospacing="0" w:afterAutospacing="0" w:line="360" w:lineRule="auto"/>
        <w:ind w:left="0" w:firstLine="482"/>
        <w:jc w:val="both"/>
        <w:rPr>
          <w:rFonts w:hint="eastAsia" w:ascii="宋体" w:hAnsi="宋体" w:eastAsia="宋体" w:cs="宋体"/>
          <w:color w:val="auto"/>
          <w:sz w:val="24"/>
          <w:szCs w:val="24"/>
          <w:highlight w:val="none"/>
        </w:rPr>
      </w:pPr>
      <w:bookmarkStart w:id="145" w:name="_Toc120614219"/>
      <w:r>
        <w:rPr>
          <w:rFonts w:hint="eastAsia" w:ascii="宋体" w:hAnsi="宋体" w:eastAsia="宋体" w:cs="宋体"/>
          <w:b/>
          <w:color w:val="auto"/>
          <w:sz w:val="24"/>
          <w:szCs w:val="24"/>
          <w:highlight w:val="none"/>
        </w:rPr>
        <w:t>六、定标</w:t>
      </w:r>
      <w:bookmarkEnd w:id="145"/>
    </w:p>
    <w:p w14:paraId="471C6CD8">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146" w:name="_Toc20823310"/>
      <w:bookmarkStart w:id="147" w:name="_Toc513029238"/>
      <w:bookmarkStart w:id="148" w:name="_Toc16938554"/>
      <w:r>
        <w:rPr>
          <w:rFonts w:hint="eastAsia" w:ascii="宋体" w:hAnsi="宋体" w:eastAsia="宋体" w:cs="宋体"/>
          <w:b/>
          <w:bCs/>
          <w:color w:val="auto"/>
          <w:sz w:val="24"/>
          <w:szCs w:val="24"/>
          <w:highlight w:val="none"/>
        </w:rPr>
        <w:t>28、</w:t>
      </w:r>
      <w:bookmarkEnd w:id="146"/>
      <w:r>
        <w:rPr>
          <w:rFonts w:hint="eastAsia" w:ascii="宋体" w:hAnsi="宋体" w:eastAsia="宋体" w:cs="宋体"/>
          <w:b/>
          <w:bCs/>
          <w:color w:val="auto"/>
          <w:sz w:val="24"/>
          <w:szCs w:val="24"/>
          <w:highlight w:val="none"/>
        </w:rPr>
        <w:t>确定</w:t>
      </w:r>
      <w:bookmarkEnd w:id="147"/>
      <w:bookmarkEnd w:id="148"/>
      <w:r>
        <w:rPr>
          <w:rFonts w:hint="eastAsia" w:ascii="宋体" w:hAnsi="宋体" w:eastAsia="宋体" w:cs="宋体"/>
          <w:b/>
          <w:bCs/>
          <w:color w:val="auto"/>
          <w:sz w:val="24"/>
          <w:szCs w:val="24"/>
          <w:highlight w:val="none"/>
        </w:rPr>
        <w:t>中标单位</w:t>
      </w:r>
    </w:p>
    <w:p w14:paraId="56DCEF57">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p>
    <w:p w14:paraId="7E1C8DD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采购人应根据评委会推荐的中标候选人确定中标人。</w:t>
      </w:r>
    </w:p>
    <w:p w14:paraId="78191FC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发布中标公告，公告期限为1个工作日。</w:t>
      </w:r>
    </w:p>
    <w:p w14:paraId="6552E7C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若有充分证据证明，中标人出现下列情况之一的，一经查实，将被取消中标资格：</w:t>
      </w:r>
    </w:p>
    <w:p w14:paraId="09B8B3FA">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28.4.1提供虚假材料谋取中标的。</w:t>
      </w:r>
    </w:p>
    <w:p w14:paraId="7B4692A6">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28.4.2向采购人、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行贿或者提供其他不正当利益的。</w:t>
      </w:r>
    </w:p>
    <w:p w14:paraId="08AFF83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28.4.3属于本文件规定的无效条件，但在评标过程中又未被评委会发现的。</w:t>
      </w:r>
    </w:p>
    <w:p w14:paraId="1E0EF410">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28.4.4与采购人或者其他供应商恶意串通的。</w:t>
      </w:r>
    </w:p>
    <w:p w14:paraId="2B328C66">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28.4.5采取不正当手段诋毁、排挤其他供应商的。</w:t>
      </w:r>
    </w:p>
    <w:p w14:paraId="1169D49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bookmarkStart w:id="149" w:name="_Toc200451960"/>
      <w:r>
        <w:rPr>
          <w:rFonts w:hint="eastAsia" w:ascii="宋体" w:hAnsi="宋体" w:eastAsia="宋体" w:cs="宋体"/>
          <w:color w:val="auto"/>
          <w:sz w:val="24"/>
          <w:szCs w:val="24"/>
          <w:highlight w:val="none"/>
        </w:rPr>
        <w:t>28.5.有下列情形之一的，视为投标人串通投标，投标无效：</w:t>
      </w:r>
      <w:bookmarkEnd w:id="149"/>
    </w:p>
    <w:p w14:paraId="01C3C4BE">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28.5.1不同投标人的投标文件由同一单位或者个人编制；</w:t>
      </w:r>
    </w:p>
    <w:p w14:paraId="361ED61E">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28.5.2不同投标人委托同一单位或者个人办理投标事宜；</w:t>
      </w:r>
    </w:p>
    <w:p w14:paraId="27901BF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不同投标人的投标文件载明的项目管理成员或者联系人员为同一人；</w:t>
      </w:r>
    </w:p>
    <w:p w14:paraId="18FDB85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28.5.4不同投标人的投标文件异常一致或者投标报价呈规律性差异；</w:t>
      </w:r>
    </w:p>
    <w:p w14:paraId="0B5FC302">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29、质疑处理</w:t>
      </w:r>
    </w:p>
    <w:p w14:paraId="47D2801E">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682392C3">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或采购人提出质疑。</w:t>
      </w:r>
    </w:p>
    <w:p w14:paraId="3AD7DBE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上述应知其权益受到损害之日，是指：</w:t>
      </w:r>
    </w:p>
    <w:p w14:paraId="6F05921F">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p>
    <w:p w14:paraId="0028FF8A">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29.2.2对采购过程提出质疑的，为各采购程序环节结束之日；</w:t>
      </w:r>
    </w:p>
    <w:p w14:paraId="3D8FC0C3">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29.2.3对中标或者成交结果提出质疑的，为中标或者成交结果公告期限届满之日。</w:t>
      </w:r>
    </w:p>
    <w:p w14:paraId="54BCD46F">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、采购人将只对供应商第一次质疑作出答复。</w:t>
      </w:r>
    </w:p>
    <w:p w14:paraId="52ACBD93">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48F5991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负责答复。</w:t>
      </w:r>
    </w:p>
    <w:p w14:paraId="6EBC4AFF">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只接收以纸质原件形式送达的质疑,采购人和</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不接受未填写快递运单的快件。</w:t>
      </w:r>
    </w:p>
    <w:p w14:paraId="5106540E">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质疑受理部门：</w:t>
      </w:r>
      <w:r>
        <w:rPr>
          <w:rFonts w:hint="eastAsia" w:ascii="宋体" w:hAnsi="宋体" w:eastAsia="宋体" w:cs="宋体"/>
          <w:color w:val="auto"/>
          <w:sz w:val="24"/>
          <w:szCs w:val="24"/>
          <w:highlight w:val="none"/>
          <w:lang w:eastAsia="zh-CN"/>
        </w:rPr>
        <w:t>东台市实验小学</w:t>
      </w:r>
    </w:p>
    <w:p w14:paraId="7C58C6DF">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lang w:val="en-US" w:eastAsia="zh-CN"/>
        </w:rPr>
        <w:t>东台市红兰南路111号</w:t>
      </w:r>
    </w:p>
    <w:p w14:paraId="1E7EB1B0">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18796592966</w:t>
      </w:r>
      <w:r>
        <w:rPr>
          <w:rFonts w:hint="eastAsia" w:ascii="宋体" w:hAnsi="宋体" w:eastAsia="宋体" w:cs="宋体"/>
          <w:color w:val="auto"/>
          <w:sz w:val="24"/>
          <w:szCs w:val="24"/>
          <w:highlight w:val="none"/>
        </w:rPr>
        <w:t xml:space="preserve">   </w:t>
      </w:r>
    </w:p>
    <w:p w14:paraId="3925AACA">
      <w:pPr>
        <w:pStyle w:val="33"/>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29.5 以下情形的质疑不予受理</w:t>
      </w:r>
    </w:p>
    <w:p w14:paraId="4548DC5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542DEBAD">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210B73C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48E79FB8">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未参加投标活动的供应商或在投标活动中自身权益未受到损害的供应商所提出的质疑。</w:t>
      </w:r>
    </w:p>
    <w:p w14:paraId="4E065630">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29.5.5供应商组成联合体参加投标，联合体中任何一方或多方未按要求签字、盖章、加盖公章的质疑。</w:t>
      </w:r>
    </w:p>
    <w:p w14:paraId="26D40246">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1D7F8CB4">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30、中标通知书</w:t>
      </w:r>
    </w:p>
    <w:p w14:paraId="29796261">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30.l中标结果确定后，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将向中标人发出中标通知书。</w:t>
      </w:r>
    </w:p>
    <w:p w14:paraId="759C639C">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13F34D43">
      <w:pPr>
        <w:pStyle w:val="33"/>
        <w:keepNext/>
        <w:keepLines/>
        <w:pageBreakBefore w:val="0"/>
        <w:widowControl w:val="0"/>
        <w:spacing w:beforeAutospacing="0" w:afterAutospacing="0" w:line="360" w:lineRule="auto"/>
        <w:ind w:left="0" w:firstLine="482"/>
        <w:jc w:val="both"/>
        <w:rPr>
          <w:rFonts w:hint="eastAsia" w:ascii="宋体" w:hAnsi="宋体" w:eastAsia="宋体" w:cs="宋体"/>
          <w:color w:val="auto"/>
          <w:sz w:val="24"/>
          <w:szCs w:val="24"/>
          <w:highlight w:val="none"/>
        </w:rPr>
      </w:pPr>
      <w:bookmarkStart w:id="150" w:name="_Toc20823308"/>
      <w:bookmarkStart w:id="151" w:name="_Toc120614220"/>
      <w:bookmarkStart w:id="152" w:name="_Toc513029236"/>
      <w:bookmarkStart w:id="153" w:name="_Toc16938552"/>
      <w:r>
        <w:rPr>
          <w:rFonts w:hint="eastAsia" w:ascii="宋体" w:hAnsi="宋体" w:eastAsia="宋体" w:cs="宋体"/>
          <w:b/>
          <w:color w:val="auto"/>
          <w:sz w:val="24"/>
          <w:szCs w:val="24"/>
          <w:highlight w:val="none"/>
        </w:rPr>
        <w:t>七、授予合同</w:t>
      </w:r>
      <w:bookmarkEnd w:id="150"/>
      <w:bookmarkEnd w:id="151"/>
      <w:bookmarkEnd w:id="152"/>
      <w:bookmarkEnd w:id="153"/>
    </w:p>
    <w:p w14:paraId="4C72E5A8">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bookmarkStart w:id="154" w:name="_Toc513029237"/>
      <w:bookmarkStart w:id="155" w:name="_Toc20823309"/>
      <w:bookmarkStart w:id="156" w:name="_Toc16938553"/>
      <w:r>
        <w:rPr>
          <w:rFonts w:hint="eastAsia" w:ascii="宋体" w:hAnsi="宋体" w:eastAsia="宋体" w:cs="宋体"/>
          <w:b/>
          <w:bCs/>
          <w:color w:val="auto"/>
          <w:sz w:val="24"/>
          <w:szCs w:val="24"/>
          <w:highlight w:val="none"/>
        </w:rPr>
        <w:t>31. 签订合同</w:t>
      </w:r>
      <w:bookmarkEnd w:id="154"/>
      <w:bookmarkEnd w:id="155"/>
      <w:bookmarkEnd w:id="156"/>
    </w:p>
    <w:p w14:paraId="535BC0D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31.l中标人应当在中标通知书发出之日起三十日内，按照招标文件确定的事项与采购人签订政府采购合同。</w:t>
      </w:r>
    </w:p>
    <w:p w14:paraId="50C2E8CA">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31.2招标文件、中标人的投标文件及招标过程中有关澄清、承诺文件均应作为合同附件。</w:t>
      </w:r>
    </w:p>
    <w:p w14:paraId="71A9F95F">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购人损失的，中标人应承担相应赔偿责任。</w:t>
      </w:r>
    </w:p>
    <w:p w14:paraId="5D759666">
      <w:pPr>
        <w:pStyle w:val="33"/>
        <w:keepNext/>
        <w:keepLines/>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32、货物（包含与货物相关的服务）的追加</w:t>
      </w:r>
    </w:p>
    <w:p w14:paraId="74C0BA8A">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0FB7F36">
      <w:pPr>
        <w:pStyle w:val="33"/>
        <w:pageBreakBefore w:val="0"/>
        <w:widowControl w:val="0"/>
        <w:numPr>
          <w:ilvl w:val="0"/>
          <w:numId w:val="0"/>
        </w:numPr>
        <w:spacing w:beforeAutospacing="0" w:afterAutospacing="0" w:line="360" w:lineRule="auto"/>
        <w:ind w:left="0" w:firstLine="482"/>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33.政府采购政策功能落实</w:t>
      </w:r>
    </w:p>
    <w:p w14:paraId="20DCE5A2">
      <w:pPr>
        <w:pStyle w:val="33"/>
        <w:keepNext/>
        <w:keepLines/>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4D50175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关于深入推进政府采购线上合同信用融资工作的通知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18D100DC">
      <w:pPr>
        <w:pageBreakBefore w:val="0"/>
        <w:widowControl w:val="0"/>
        <w:tabs>
          <w:tab w:val="left" w:pos="1381"/>
        </w:tabs>
        <w:spacing w:line="360" w:lineRule="auto"/>
        <w:ind w:lef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33.2进口产品</w:t>
      </w:r>
    </w:p>
    <w:p w14:paraId="2F822896">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077326">
      <w:pPr>
        <w:pageBreakBefore w:val="0"/>
        <w:widowControl w:val="0"/>
        <w:tabs>
          <w:tab w:val="left" w:pos="1381"/>
        </w:tabs>
        <w:spacing w:line="360" w:lineRule="auto"/>
        <w:ind w:left="0"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33.3中小企业、监狱企业及残疾人福利性单位</w:t>
      </w:r>
    </w:p>
    <w:p w14:paraId="0637948D">
      <w:pPr>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.3.1中小企业定义：</w:t>
      </w:r>
    </w:p>
    <w:p w14:paraId="0538058D">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政府采购促进中小企业发展管理办法》（财库〔2020〕46号）、《关于印发中小企业划型标准规定的通知》（工信部联企业〔2011〕300 号）、《国务院关于进一步促进中小企业发展的若干意见》（国发〔2009〕36 号）。</w:t>
      </w:r>
    </w:p>
    <w:p w14:paraId="5DA8BC2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.3.2供应商提供的货物、工程或者服务符合下列情形的，享受中小企业扶持政策：</w:t>
      </w:r>
    </w:p>
    <w:p w14:paraId="58E7505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1370CC9C">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.3.2.2在工程采购项目中，工程由中小企业承建，即工程施工单位为中小企业；</w:t>
      </w:r>
    </w:p>
    <w:p w14:paraId="15A1A19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1FA0501F">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3C4C5A0F">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63A6FC22">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1C7145E">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5F4E621C">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0C1A3613">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.3.6.2依法与安置的每位残疾人签订了一年以上（含一年）的劳动合同或服务协议；</w:t>
      </w:r>
    </w:p>
    <w:p w14:paraId="33EA6A8A">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34042AFB">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262C4B09">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129C820F">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723DE55">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277334FA">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.3.8采购标的对应的中小企业划分标准所属行业见第四章《采购需求》。</w:t>
      </w:r>
    </w:p>
    <w:p w14:paraId="2AC6400A">
      <w:pPr>
        <w:pStyle w:val="33"/>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.3.9小微企业价格评审优惠的政策：见第五章《评标方法和评标标准》。</w:t>
      </w:r>
    </w:p>
    <w:p w14:paraId="530554D3">
      <w:pPr>
        <w:pageBreakBefore w:val="0"/>
        <w:widowControl w:val="0"/>
        <w:tabs>
          <w:tab w:val="left" w:pos="1381"/>
        </w:tabs>
        <w:spacing w:line="36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33.4政府采购节能产品、环境标志产品</w:t>
      </w:r>
    </w:p>
    <w:p w14:paraId="5AC6BB05">
      <w:pPr>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7F59DB40">
      <w:pPr>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AA4DF40">
      <w:pPr>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《环境标志产品政府采购品目清单》中的产品有</w:t>
      </w:r>
      <w:r>
        <w:rPr>
          <w:rFonts w:hint="eastAsia" w:ascii="宋体" w:hAnsi="宋体" w:eastAsia="宋体" w:cs="宋体"/>
          <w:color w:val="auto"/>
          <w:sz w:val="24"/>
          <w:szCs w:val="24"/>
          <w:highlight w:val="none"/>
          <w:u w:val="single"/>
          <w:lang w:val="en-US" w:eastAsia="zh-CN"/>
        </w:rPr>
        <w:t>八边形操作台、全钢讲台、学生凳、储物柜、室内地板</w:t>
      </w:r>
      <w:r>
        <w:rPr>
          <w:rFonts w:hint="eastAsia" w:ascii="宋体" w:hAnsi="宋体" w:eastAsia="宋体" w:cs="宋体"/>
          <w:color w:val="auto"/>
          <w:sz w:val="24"/>
          <w:szCs w:val="24"/>
          <w:highlight w:val="none"/>
        </w:rPr>
        <w:t>。供应商必须在响应文件中提供所投产品的相关证书(由国家确定的认证机构出具的、处于有效期之内的节能产品、环境标志产品认证证书)</w:t>
      </w:r>
      <w:r>
        <w:rPr>
          <w:rFonts w:hint="eastAsia" w:ascii="宋体" w:hAnsi="宋体" w:eastAsia="宋体" w:cs="宋体"/>
          <w:b/>
          <w:i/>
          <w:color w:val="auto"/>
          <w:sz w:val="24"/>
          <w:szCs w:val="24"/>
          <w:highlight w:val="none"/>
        </w:rPr>
        <w:t>如未提供认证证书的或认证证书提供不全的将视为未实质性响应采购要求</w:t>
      </w:r>
      <w:r>
        <w:rPr>
          <w:rFonts w:hint="eastAsia" w:ascii="宋体" w:hAnsi="宋体" w:eastAsia="宋体" w:cs="宋体"/>
          <w:i/>
          <w:color w:val="auto"/>
          <w:sz w:val="24"/>
          <w:szCs w:val="24"/>
          <w:highlight w:val="none"/>
        </w:rPr>
        <w:t>。</w:t>
      </w:r>
    </w:p>
    <w:p w14:paraId="7C6FA734">
      <w:pPr>
        <w:pageBreakBefore w:val="0"/>
        <w:widowControl w:val="0"/>
        <w:tabs>
          <w:tab w:val="left" w:pos="1381"/>
        </w:tabs>
        <w:spacing w:line="36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33.5绿色包装</w:t>
      </w:r>
    </w:p>
    <w:p w14:paraId="24A1C9BF">
      <w:pPr>
        <w:pageBreakBefore w:val="0"/>
        <w:widowControl w:val="0"/>
        <w:spacing w:line="36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2C5A39C">
      <w:pPr>
        <w:pageBreakBefore w:val="0"/>
        <w:widowControl w:val="0"/>
        <w:tabs>
          <w:tab w:val="left" w:pos="1381"/>
        </w:tabs>
        <w:spacing w:line="36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33.6政府采购创新产品</w:t>
      </w:r>
    </w:p>
    <w:p w14:paraId="095228A6">
      <w:pPr>
        <w:pageBreakBefore w:val="0"/>
        <w:widowControl w:val="0"/>
        <w:pBdr>
          <w:top w:val="none" w:color="000000" w:sz="0" w:space="0"/>
          <w:left w:val="none" w:color="000000" w:sz="0" w:space="0"/>
          <w:bottom w:val="none" w:color="000000" w:sz="0" w:space="0"/>
          <w:right w:val="none" w:color="000000" w:sz="0" w:space="0"/>
        </w:pBdr>
        <w:spacing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w:t>
      </w:r>
    </w:p>
    <w:p w14:paraId="053CC674">
      <w:pPr>
        <w:pageBreakBefore w:val="0"/>
        <w:widowControl w:val="0"/>
        <w:tabs>
          <w:tab w:val="left" w:pos="1381"/>
        </w:tabs>
        <w:spacing w:line="36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p>
    <w:p w14:paraId="1415E11B">
      <w:pPr>
        <w:pageBreakBefore w:val="0"/>
        <w:widowControl w:val="0"/>
        <w:spacing w:line="36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6950EC6">
      <w:pPr>
        <w:pageBreakBefore w:val="0"/>
        <w:widowControl w:val="0"/>
        <w:tabs>
          <w:tab w:val="left" w:pos="1381"/>
        </w:tabs>
        <w:spacing w:line="36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33.8履约保证金政策</w:t>
      </w:r>
    </w:p>
    <w:p w14:paraId="7B334D5D">
      <w:pPr>
        <w:pStyle w:val="195"/>
        <w:pageBreakBefore w:val="0"/>
        <w:widowControl w:val="0"/>
        <w:spacing w:after="0" w:line="36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确需收取履约保证金的，履约保证金的缴纳形式：</w:t>
      </w:r>
    </w:p>
    <w:p w14:paraId="4ED69CDE">
      <w:pPr>
        <w:pageBreakBefore w:val="0"/>
        <w:widowControl w:val="0"/>
        <w:spacing w:line="36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7FD5F32">
      <w:pPr>
        <w:pageBreakBefore w:val="0"/>
        <w:widowControl w:val="0"/>
        <w:spacing w:line="36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37E6C9B1">
      <w:pPr>
        <w:pageBreakBefore w:val="0"/>
        <w:widowControl w:val="0"/>
        <w:spacing w:line="36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p>
    <w:p w14:paraId="754DA062">
      <w:pPr>
        <w:pageBreakBefore w:val="0"/>
        <w:widowControl w:val="0"/>
        <w:tabs>
          <w:tab w:val="left" w:pos="1381"/>
        </w:tabs>
        <w:spacing w:line="36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34. 预付款制度</w:t>
      </w:r>
    </w:p>
    <w:p w14:paraId="416296D6">
      <w:pPr>
        <w:pageBreakBefore w:val="0"/>
        <w:widowControl w:val="0"/>
        <w:spacing w:line="360" w:lineRule="auto"/>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本项目落实预付款制度，</w:t>
      </w:r>
      <w:r>
        <w:rPr>
          <w:rFonts w:hint="eastAsia" w:ascii="宋体" w:hAnsi="宋体" w:eastAsia="宋体" w:cs="宋体"/>
          <w:color w:val="auto"/>
          <w:sz w:val="24"/>
          <w:highlight w:val="none"/>
        </w:rPr>
        <w:t>预付款比例为</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lang w:val="en-US" w:eastAsia="zh-CN" w:bidi="ar-SA"/>
        </w:rPr>
        <w:t>。在签订合同时，中标、成交供应商明确书面表示无需预付款或者主动要求降低预付款比例的，采购人可就预付款比例作相应调整。</w:t>
      </w:r>
    </w:p>
    <w:p w14:paraId="06D9845D">
      <w:pPr>
        <w:pStyle w:val="33"/>
        <w:spacing w:beforeAutospacing="0" w:afterAutospacing="0" w:line="0" w:lineRule="atLeast"/>
        <w:jc w:val="both"/>
        <w:rPr>
          <w:color w:val="auto"/>
          <w:highlight w:val="none"/>
        </w:rPr>
      </w:pPr>
      <w:r>
        <w:rPr>
          <w:color w:val="auto"/>
          <w:highlight w:val="none"/>
        </w:rPr>
        <w:t> </w:t>
      </w:r>
    </w:p>
    <w:p w14:paraId="091834C0">
      <w:pPr>
        <w:widowControl/>
        <w:spacing w:line="360" w:lineRule="auto"/>
        <w:jc w:val="center"/>
        <w:rPr>
          <w:color w:val="auto"/>
          <w:sz w:val="36"/>
          <w:szCs w:val="44"/>
          <w:highlight w:val="none"/>
        </w:rPr>
      </w:pPr>
      <w:r>
        <w:rPr>
          <w:color w:val="auto"/>
          <w:sz w:val="36"/>
          <w:szCs w:val="44"/>
          <w:highlight w:val="none"/>
        </w:rPr>
        <w:t> </w:t>
      </w:r>
      <w:bookmarkStart w:id="157" w:name="_Toc479757211"/>
      <w:bookmarkStart w:id="158" w:name="_Toc120614244"/>
      <w:bookmarkStart w:id="159" w:name="_Hlt16619350"/>
      <w:bookmarkStart w:id="160" w:name="_Toc462564139"/>
      <w:bookmarkStart w:id="161" w:name="_Toc20823346"/>
      <w:bookmarkStart w:id="162" w:name="_Toc16938590"/>
      <w:bookmarkStart w:id="163" w:name="_Hlt16619369"/>
    </w:p>
    <w:p w14:paraId="473CFC02">
      <w:pPr>
        <w:rPr>
          <w:color w:val="auto"/>
          <w:sz w:val="36"/>
          <w:szCs w:val="44"/>
          <w:highlight w:val="none"/>
        </w:rPr>
      </w:pPr>
      <w:r>
        <w:rPr>
          <w:color w:val="auto"/>
          <w:sz w:val="36"/>
          <w:szCs w:val="44"/>
          <w:highlight w:val="none"/>
        </w:rPr>
        <w:br w:type="page" w:clear="all"/>
      </w:r>
    </w:p>
    <w:p w14:paraId="4D417446">
      <w:pPr>
        <w:widowControl/>
        <w:spacing w:line="360" w:lineRule="auto"/>
        <w:jc w:val="center"/>
        <w:rPr>
          <w:rFonts w:ascii="宋体" w:hAnsi="宋体" w:cs="宋体"/>
          <w:b/>
          <w:color w:val="auto"/>
          <w:sz w:val="48"/>
          <w:szCs w:val="44"/>
          <w:highlight w:val="none"/>
        </w:rPr>
      </w:pPr>
      <w:r>
        <w:rPr>
          <w:rFonts w:hint="eastAsia" w:ascii="宋体" w:hAnsi="宋体" w:cs="宋体"/>
          <w:b/>
          <w:color w:val="auto"/>
          <w:sz w:val="48"/>
          <w:szCs w:val="44"/>
          <w:highlight w:val="none"/>
        </w:rPr>
        <w:t>第三</w:t>
      </w:r>
      <w:r>
        <w:rPr>
          <w:rFonts w:hint="eastAsia" w:ascii="宋体" w:hAnsi="宋体" w:cs="宋体"/>
          <w:b/>
          <w:color w:val="auto"/>
          <w:sz w:val="48"/>
          <w:szCs w:val="44"/>
          <w:highlight w:val="none"/>
          <w:lang w:eastAsia="zh-CN"/>
        </w:rPr>
        <w:t>章</w:t>
      </w:r>
      <w:r>
        <w:rPr>
          <w:rFonts w:hint="eastAsia" w:ascii="宋体" w:hAnsi="宋体" w:cs="宋体"/>
          <w:b/>
          <w:color w:val="auto"/>
          <w:sz w:val="48"/>
          <w:szCs w:val="44"/>
          <w:highlight w:val="none"/>
        </w:rPr>
        <w:t xml:space="preserve">  合同条款</w:t>
      </w:r>
    </w:p>
    <w:p w14:paraId="5B5FD3E4">
      <w:pPr>
        <w:rPr>
          <w:rFonts w:ascii="宋体" w:hAnsi="宋体" w:cs="宋体"/>
          <w:color w:val="auto"/>
          <w:highlight w:val="none"/>
        </w:rPr>
      </w:pPr>
      <w:bookmarkStart w:id="164" w:name="EB6d2006462e294de090c16e672cecc3bd"/>
      <w:bookmarkEnd w:id="164"/>
    </w:p>
    <w:p w14:paraId="430F6D5C">
      <w:pPr>
        <w:jc w:val="center"/>
        <w:rPr>
          <w:rFonts w:ascii="宋体" w:hAnsi="宋体" w:cs="宋体"/>
          <w:color w:val="auto"/>
          <w:sz w:val="30"/>
          <w:highlight w:val="none"/>
        </w:rPr>
      </w:pPr>
      <w:bookmarkStart w:id="165" w:name="_Toc3995"/>
    </w:p>
    <w:p w14:paraId="543CB3A2">
      <w:pPr>
        <w:pStyle w:val="188"/>
        <w:rPr>
          <w:rFonts w:ascii="宋体" w:hAnsi="宋体" w:cs="宋体"/>
          <w:color w:val="auto"/>
          <w:sz w:val="30"/>
          <w:highlight w:val="none"/>
        </w:rPr>
      </w:pPr>
    </w:p>
    <w:p w14:paraId="05C01BEC">
      <w:pPr>
        <w:pStyle w:val="188"/>
        <w:rPr>
          <w:rFonts w:ascii="宋体" w:hAnsi="宋体" w:cs="宋体"/>
          <w:color w:val="auto"/>
          <w:sz w:val="30"/>
          <w:highlight w:val="none"/>
        </w:rPr>
      </w:pPr>
    </w:p>
    <w:p w14:paraId="47EDF69B">
      <w:pPr>
        <w:pStyle w:val="188"/>
        <w:rPr>
          <w:rFonts w:ascii="宋体" w:hAnsi="宋体" w:cs="宋体"/>
          <w:color w:val="auto"/>
          <w:sz w:val="30"/>
          <w:highlight w:val="none"/>
        </w:rPr>
      </w:pPr>
    </w:p>
    <w:p w14:paraId="188A135D">
      <w:pPr>
        <w:jc w:val="center"/>
        <w:rPr>
          <w:rFonts w:ascii="宋体" w:hAnsi="宋体" w:cs="宋体"/>
          <w:color w:val="auto"/>
          <w:sz w:val="30"/>
          <w:highlight w:val="none"/>
        </w:rPr>
      </w:pPr>
      <w:r>
        <w:rPr>
          <w:rFonts w:hint="eastAsia" w:ascii="宋体" w:hAnsi="宋体" w:cs="宋体"/>
          <w:color w:val="auto"/>
          <w:sz w:val="30"/>
          <w:highlight w:val="none"/>
        </w:rPr>
        <w:t>政府采购货物买卖合同</w:t>
      </w:r>
    </w:p>
    <w:p w14:paraId="6E61EA4F">
      <w:pPr>
        <w:jc w:val="center"/>
        <w:rPr>
          <w:rFonts w:ascii="宋体" w:hAnsi="宋体" w:cs="宋体"/>
          <w:color w:val="auto"/>
          <w:sz w:val="30"/>
          <w:highlight w:val="none"/>
        </w:rPr>
      </w:pPr>
    </w:p>
    <w:p w14:paraId="15BDF408">
      <w:pPr>
        <w:rPr>
          <w:rFonts w:ascii="宋体" w:hAnsi="宋体" w:cs="宋体"/>
          <w:color w:val="auto"/>
          <w:sz w:val="30"/>
          <w:highlight w:val="none"/>
        </w:rPr>
      </w:pPr>
    </w:p>
    <w:p w14:paraId="346E1427">
      <w:pPr>
        <w:rPr>
          <w:rFonts w:ascii="宋体" w:hAnsi="宋体" w:cs="宋体"/>
          <w:color w:val="auto"/>
          <w:sz w:val="30"/>
          <w:highlight w:val="none"/>
        </w:rPr>
      </w:pPr>
    </w:p>
    <w:p w14:paraId="197CA0E9">
      <w:pPr>
        <w:pStyle w:val="188"/>
        <w:rPr>
          <w:rFonts w:ascii="宋体" w:hAnsi="宋体" w:cs="宋体"/>
          <w:color w:val="auto"/>
          <w:sz w:val="30"/>
          <w:highlight w:val="none"/>
        </w:rPr>
      </w:pPr>
    </w:p>
    <w:p w14:paraId="07BA4C05">
      <w:pPr>
        <w:pStyle w:val="188"/>
        <w:rPr>
          <w:rFonts w:ascii="宋体" w:hAnsi="宋体" w:cs="宋体"/>
          <w:color w:val="auto"/>
          <w:sz w:val="30"/>
          <w:highlight w:val="none"/>
        </w:rPr>
      </w:pPr>
    </w:p>
    <w:p w14:paraId="10A26CEF">
      <w:pPr>
        <w:pStyle w:val="188"/>
        <w:rPr>
          <w:rFonts w:ascii="宋体" w:hAnsi="宋体" w:cs="宋体"/>
          <w:color w:val="auto"/>
          <w:sz w:val="30"/>
          <w:highlight w:val="none"/>
        </w:rPr>
      </w:pPr>
    </w:p>
    <w:p w14:paraId="50911A16">
      <w:pPr>
        <w:pStyle w:val="188"/>
        <w:rPr>
          <w:rFonts w:ascii="宋体" w:hAnsi="宋体" w:cs="宋体"/>
          <w:color w:val="auto"/>
          <w:sz w:val="30"/>
          <w:highlight w:val="none"/>
        </w:rPr>
      </w:pPr>
    </w:p>
    <w:p w14:paraId="61814D97">
      <w:pPr>
        <w:pStyle w:val="188"/>
        <w:rPr>
          <w:rFonts w:ascii="宋体" w:hAnsi="宋体" w:cs="宋体"/>
          <w:color w:val="auto"/>
          <w:sz w:val="30"/>
          <w:highlight w:val="none"/>
        </w:rPr>
      </w:pPr>
    </w:p>
    <w:p w14:paraId="3127CD92">
      <w:pPr>
        <w:pStyle w:val="188"/>
        <w:rPr>
          <w:rFonts w:ascii="宋体" w:hAnsi="宋体" w:cs="宋体"/>
          <w:color w:val="auto"/>
          <w:sz w:val="30"/>
          <w:highlight w:val="none"/>
        </w:rPr>
      </w:pPr>
    </w:p>
    <w:p w14:paraId="12E68DDA">
      <w:pPr>
        <w:pStyle w:val="188"/>
        <w:rPr>
          <w:rFonts w:ascii="宋体" w:hAnsi="宋体" w:cs="宋体"/>
          <w:color w:val="auto"/>
          <w:sz w:val="30"/>
          <w:highlight w:val="none"/>
        </w:rPr>
      </w:pPr>
    </w:p>
    <w:p w14:paraId="1EC8299B">
      <w:pPr>
        <w:rPr>
          <w:rFonts w:ascii="宋体" w:hAnsi="宋体" w:cs="宋体"/>
          <w:color w:val="auto"/>
          <w:sz w:val="30"/>
          <w:highlight w:val="none"/>
        </w:rPr>
      </w:pPr>
    </w:p>
    <w:p w14:paraId="712FF8DF">
      <w:pPr>
        <w:spacing w:line="360" w:lineRule="auto"/>
        <w:ind w:left="420" w:firstLine="600"/>
        <w:rPr>
          <w:rFonts w:hint="eastAsia" w:ascii="宋体" w:hAnsi="宋体" w:cs="宋体" w:eastAsiaTheme="minorEastAsia"/>
          <w:color w:val="auto"/>
          <w:sz w:val="30"/>
          <w:highlight w:val="none"/>
          <w:lang w:eastAsia="zh-CN"/>
        </w:rPr>
      </w:pPr>
      <w:r>
        <w:rPr>
          <w:rFonts w:hint="eastAsia" w:ascii="宋体" w:hAnsi="宋体" w:cs="宋体"/>
          <w:color w:val="auto"/>
          <w:sz w:val="30"/>
          <w:highlight w:val="none"/>
        </w:rPr>
        <w:t>项目名称：</w:t>
      </w:r>
      <w:r>
        <w:rPr>
          <w:rFonts w:hint="eastAsia" w:ascii="宋体" w:hAnsi="宋体" w:cs="宋体"/>
          <w:color w:val="auto"/>
          <w:sz w:val="30"/>
          <w:highlight w:val="none"/>
          <w:lang w:eastAsia="zh-CN"/>
        </w:rPr>
        <w:t>东台市实验小学未来实验室建设项目（第三次）</w:t>
      </w:r>
    </w:p>
    <w:p w14:paraId="57B4ABE2">
      <w:pPr>
        <w:spacing w:line="360" w:lineRule="auto"/>
        <w:ind w:left="420" w:firstLine="600"/>
        <w:rPr>
          <w:rFonts w:hint="default" w:ascii="宋体" w:hAnsi="宋体" w:cs="宋体" w:eastAsiaTheme="minorEastAsia"/>
          <w:color w:val="auto"/>
          <w:sz w:val="30"/>
          <w:highlight w:val="none"/>
          <w:lang w:val="en-US" w:eastAsia="zh-CN"/>
        </w:rPr>
      </w:pPr>
      <w:r>
        <w:rPr>
          <w:rFonts w:hint="eastAsia" w:ascii="宋体" w:hAnsi="宋体" w:cs="宋体"/>
          <w:color w:val="auto"/>
          <w:sz w:val="30"/>
          <w:highlight w:val="none"/>
        </w:rPr>
        <w:t>合同编号：</w:t>
      </w:r>
      <w:r>
        <w:rPr>
          <w:rFonts w:hint="eastAsia" w:ascii="Times New Roman" w:hAnsi="Times New Roman"/>
          <w:b/>
          <w:color w:val="auto"/>
          <w:sz w:val="32"/>
          <w:szCs w:val="32"/>
          <w:highlight w:val="none"/>
          <w:lang w:eastAsia="zh-CN"/>
        </w:rPr>
        <w:t>JSZC-320981-CCGC-G2025-0062</w:t>
      </w:r>
      <w:r>
        <w:rPr>
          <w:rFonts w:hint="eastAsia" w:ascii="Times New Roman" w:hAnsi="Times New Roman"/>
          <w:b/>
          <w:color w:val="auto"/>
          <w:sz w:val="32"/>
          <w:szCs w:val="32"/>
          <w:highlight w:val="none"/>
          <w:lang w:val="en-US" w:eastAsia="zh-CN"/>
        </w:rPr>
        <w:t>001</w:t>
      </w:r>
    </w:p>
    <w:p w14:paraId="0137909B">
      <w:pPr>
        <w:spacing w:line="360" w:lineRule="auto"/>
        <w:ind w:left="420" w:firstLine="600"/>
        <w:rPr>
          <w:rFonts w:ascii="宋体" w:hAnsi="宋体" w:cs="宋体"/>
          <w:color w:val="auto"/>
          <w:sz w:val="30"/>
          <w:highlight w:val="none"/>
        </w:rPr>
      </w:pPr>
      <w:r>
        <w:rPr>
          <w:rFonts w:hint="eastAsia" w:ascii="宋体" w:hAnsi="宋体" w:cs="宋体"/>
          <w:color w:val="auto"/>
          <w:sz w:val="30"/>
          <w:highlight w:val="none"/>
        </w:rPr>
        <w:t>甲    方：</w:t>
      </w:r>
      <w:r>
        <w:rPr>
          <w:rFonts w:hint="eastAsia" w:ascii="宋体" w:hAnsi="宋体" w:cs="宋体"/>
          <w:color w:val="auto"/>
          <w:sz w:val="30"/>
          <w:highlight w:val="none"/>
          <w:lang w:val="en-US" w:eastAsia="zh-CN"/>
        </w:rPr>
        <w:t>东台市实验小学</w:t>
      </w:r>
    </w:p>
    <w:p w14:paraId="4833879F">
      <w:pPr>
        <w:spacing w:line="360" w:lineRule="auto"/>
        <w:ind w:left="420" w:firstLine="600"/>
        <w:rPr>
          <w:rFonts w:ascii="宋体" w:hAnsi="宋体" w:cs="宋体"/>
          <w:color w:val="auto"/>
          <w:sz w:val="30"/>
          <w:highlight w:val="none"/>
        </w:rPr>
      </w:pPr>
      <w:r>
        <w:rPr>
          <w:rFonts w:hint="eastAsia" w:ascii="宋体" w:hAnsi="宋体" w:cs="宋体"/>
          <w:color w:val="auto"/>
          <w:sz w:val="30"/>
          <w:highlight w:val="none"/>
        </w:rPr>
        <w:t>乙    方：</w:t>
      </w:r>
    </w:p>
    <w:p w14:paraId="368624AC">
      <w:pPr>
        <w:spacing w:line="360" w:lineRule="auto"/>
        <w:ind w:left="420" w:firstLine="600"/>
        <w:rPr>
          <w:rFonts w:ascii="宋体" w:hAnsi="宋体" w:cs="宋体"/>
          <w:color w:val="auto"/>
          <w:sz w:val="30"/>
          <w:highlight w:val="none"/>
        </w:rPr>
      </w:pPr>
      <w:r>
        <w:rPr>
          <w:rFonts w:hint="eastAsia" w:ascii="宋体" w:hAnsi="宋体" w:cs="宋体"/>
          <w:color w:val="auto"/>
          <w:sz w:val="30"/>
          <w:highlight w:val="none"/>
        </w:rPr>
        <w:t>签订时间：</w:t>
      </w:r>
    </w:p>
    <w:p w14:paraId="15542FE2">
      <w:pPr>
        <w:rPr>
          <w:color w:val="auto"/>
          <w:highlight w:val="none"/>
        </w:rPr>
      </w:pPr>
    </w:p>
    <w:p w14:paraId="22733BDE">
      <w:pPr>
        <w:rPr>
          <w:rFonts w:eastAsia="黑体"/>
          <w:color w:val="auto"/>
          <w:sz w:val="44"/>
          <w:szCs w:val="44"/>
          <w:highlight w:val="none"/>
        </w:rPr>
      </w:pPr>
      <w:r>
        <w:rPr>
          <w:rFonts w:eastAsia="黑体"/>
          <w:color w:val="auto"/>
          <w:sz w:val="44"/>
          <w:szCs w:val="44"/>
          <w:highlight w:val="none"/>
        </w:rPr>
        <w:br w:type="page" w:clear="all"/>
      </w:r>
    </w:p>
    <w:p w14:paraId="06FE787A">
      <w:pPr>
        <w:jc w:val="center"/>
        <w:rPr>
          <w:rFonts w:eastAsia="黑体"/>
          <w:color w:val="auto"/>
          <w:sz w:val="44"/>
          <w:szCs w:val="44"/>
          <w:highlight w:val="none"/>
        </w:rPr>
      </w:pPr>
      <w:r>
        <w:rPr>
          <w:rFonts w:hint="eastAsia" w:eastAsia="黑体"/>
          <w:color w:val="auto"/>
          <w:sz w:val="44"/>
          <w:szCs w:val="44"/>
          <w:highlight w:val="none"/>
        </w:rPr>
        <w:t>使用说明</w:t>
      </w:r>
    </w:p>
    <w:p w14:paraId="372ACF2A">
      <w:pPr>
        <w:ind w:firstLine="640"/>
        <w:rPr>
          <w:rFonts w:ascii="仿宋_GB2312" w:hAnsi="仿宋_GB2312" w:eastAsia="仿宋_GB2312" w:cs="仿宋_GB2312"/>
          <w:color w:val="auto"/>
          <w:sz w:val="32"/>
          <w:szCs w:val="32"/>
          <w:highlight w:val="none"/>
        </w:rPr>
      </w:pPr>
    </w:p>
    <w:p w14:paraId="1F16D63E">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7146E5D9">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2.本合同标准文本为政府采购货物买卖合同编制提供参考，可以结合采购项目具体情况，对文本作必要的调整修订后使用。</w:t>
      </w:r>
    </w:p>
    <w:p w14:paraId="476779C4">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p>
    <w:bookmarkEnd w:id="165"/>
    <w:p w14:paraId="5F719B55">
      <w:pPr>
        <w:ind w:firstLine="880"/>
        <w:rPr>
          <w:rFonts w:eastAsia="黑体"/>
          <w:color w:val="auto"/>
          <w:sz w:val="44"/>
          <w:szCs w:val="44"/>
          <w:highlight w:val="none"/>
        </w:rPr>
        <w:sectPr>
          <w:footerReference r:id="rId3" w:type="default"/>
          <w:pgSz w:w="11906" w:h="16838"/>
          <w:pgMar w:top="1440" w:right="1080" w:bottom="1440" w:left="1080" w:header="851" w:footer="992" w:gutter="0"/>
          <w:cols w:space="425" w:num="1"/>
          <w:docGrid w:linePitch="360" w:charSpace="0"/>
        </w:sectPr>
      </w:pPr>
    </w:p>
    <w:p w14:paraId="452D3F36">
      <w:pPr>
        <w:keepNext/>
        <w:keepLines/>
        <w:spacing w:line="400" w:lineRule="exact"/>
        <w:jc w:val="center"/>
        <w:outlineLvl w:val="1"/>
        <w:rPr>
          <w:rFonts w:ascii="黑体" w:hAnsi="黑体" w:eastAsia="黑体"/>
          <w:b/>
          <w:bCs/>
          <w:color w:val="auto"/>
          <w:sz w:val="28"/>
          <w:szCs w:val="28"/>
          <w:highlight w:val="none"/>
        </w:rPr>
      </w:pPr>
      <w:bookmarkStart w:id="166" w:name="_Toc22209"/>
    </w:p>
    <w:p w14:paraId="54F11F07">
      <w:pPr>
        <w:keepNext/>
        <w:keepLines/>
        <w:spacing w:line="400" w:lineRule="exact"/>
        <w:jc w:val="center"/>
        <w:outlineLvl w:val="1"/>
        <w:rPr>
          <w:rFonts w:ascii="黑体" w:hAnsi="华文中宋" w:eastAsia="黑体"/>
          <w:color w:val="auto"/>
          <w:sz w:val="28"/>
          <w:szCs w:val="28"/>
          <w:highlight w:val="none"/>
        </w:rPr>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政府采购合同协议书</w:t>
      </w:r>
      <w:bookmarkEnd w:id="166"/>
    </w:p>
    <w:p w14:paraId="42D4731E">
      <w:pPr>
        <w:keepNext/>
        <w:keepLines/>
        <w:spacing w:line="360" w:lineRule="auto"/>
        <w:jc w:val="center"/>
        <w:outlineLvl w:val="1"/>
        <w:rPr>
          <w:rFonts w:ascii="黑体" w:hAnsi="华文中宋" w:eastAsia="黑体"/>
          <w:color w:val="auto"/>
          <w:sz w:val="28"/>
          <w:szCs w:val="28"/>
          <w:highlight w:val="none"/>
        </w:rPr>
      </w:pPr>
    </w:p>
    <w:p w14:paraId="63C0A28D">
      <w:pPr>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甲方（全称）：</w:t>
      </w:r>
      <w:r>
        <w:rPr>
          <w:rFonts w:hint="eastAsia" w:ascii="宋体" w:hAnsi="宋体"/>
          <w:color w:val="auto"/>
          <w:sz w:val="24"/>
          <w:highlight w:val="none"/>
          <w:lang w:val="en-US" w:eastAsia="zh-CN"/>
        </w:rPr>
        <w:t>东台市实验小学</w:t>
      </w:r>
    </w:p>
    <w:p w14:paraId="4F8DF71C">
      <w:pPr>
        <w:spacing w:line="360" w:lineRule="auto"/>
        <w:rPr>
          <w:rFonts w:ascii="宋体" w:hAnsi="宋体"/>
          <w:color w:val="auto"/>
          <w:sz w:val="24"/>
          <w:highlight w:val="none"/>
        </w:rPr>
      </w:pPr>
      <w:r>
        <w:rPr>
          <w:rFonts w:hint="eastAsia" w:ascii="宋体" w:hAnsi="宋体"/>
          <w:color w:val="auto"/>
          <w:sz w:val="24"/>
          <w:highlight w:val="none"/>
        </w:rPr>
        <w:t>乙方（全称）：</w:t>
      </w:r>
      <w:r>
        <w:rPr>
          <w:rFonts w:ascii="宋体" w:hAnsi="宋体"/>
          <w:color w:val="auto"/>
          <w:sz w:val="24"/>
          <w:highlight w:val="none"/>
        </w:rPr>
        <w:t xml:space="preserve"> </w:t>
      </w:r>
    </w:p>
    <w:p w14:paraId="15102584">
      <w:pPr>
        <w:spacing w:line="360" w:lineRule="auto"/>
        <w:ind w:firstLine="480"/>
        <w:rPr>
          <w:rFonts w:ascii="宋体" w:hAnsi="宋体"/>
          <w:color w:val="auto"/>
          <w:sz w:val="24"/>
          <w:highlight w:val="none"/>
        </w:rPr>
      </w:pPr>
      <w:r>
        <w:rPr>
          <w:rFonts w:hint="eastAsia" w:ascii="宋体" w:hAnsi="宋体"/>
          <w:color w:val="auto"/>
          <w:sz w:val="24"/>
          <w:highlight w:val="none"/>
        </w:rPr>
        <w:t>依据《中华人民共和国民法典</w:t>
      </w:r>
      <w:r>
        <w:rPr>
          <w:rFonts w:hint="eastAsia" w:ascii="宋体" w:hAnsi="宋体"/>
          <w:color w:val="auto"/>
          <w:sz w:val="24"/>
          <w:highlight w:val="none"/>
          <w:lang w:eastAsia="zh-CN"/>
        </w:rPr>
        <w:t>》《</w:t>
      </w:r>
      <w:r>
        <w:rPr>
          <w:rFonts w:hint="eastAsia" w:ascii="宋体" w:hAnsi="宋体"/>
          <w:color w:val="auto"/>
          <w:sz w:val="24"/>
          <w:highlight w:val="none"/>
        </w:rPr>
        <w:t xml:space="preserve">中华人民共和国政府采购法》等有关的法律法规，以及本采购项目的招标等采购文件、乙方的《投标（响应）文件》及《中标（成交）通知书》，甲乙双方同意签订本合同。具体情况及要求如下：     </w:t>
      </w:r>
    </w:p>
    <w:p w14:paraId="576EE97F">
      <w:pPr>
        <w:numPr>
          <w:ilvl w:val="0"/>
          <w:numId w:val="1"/>
        </w:numPr>
        <w:spacing w:line="360" w:lineRule="auto"/>
        <w:ind w:firstLine="482"/>
        <w:rPr>
          <w:rFonts w:ascii="宋体" w:hAnsi="宋体"/>
          <w:b/>
          <w:color w:val="auto"/>
          <w:sz w:val="24"/>
          <w:highlight w:val="none"/>
        </w:rPr>
      </w:pPr>
      <w:r>
        <w:rPr>
          <w:rFonts w:hint="eastAsia" w:ascii="宋体" w:hAnsi="宋体"/>
          <w:b/>
          <w:color w:val="auto"/>
          <w:sz w:val="24"/>
          <w:highlight w:val="none"/>
        </w:rPr>
        <w:t>项目信息</w:t>
      </w:r>
    </w:p>
    <w:p w14:paraId="78E572A0">
      <w:pPr>
        <w:keepNext w:val="0"/>
        <w:keepLines w:val="0"/>
        <w:pageBreakBefore w:val="0"/>
        <w:spacing w:line="360" w:lineRule="auto"/>
        <w:ind w:left="0" w:firstLine="480"/>
        <w:rPr>
          <w:rFonts w:hint="eastAsia" w:ascii="宋体" w:hAnsi="宋体" w:eastAsiaTheme="minorEastAsia"/>
          <w:color w:val="auto"/>
          <w:sz w:val="24"/>
          <w:highlight w:val="none"/>
          <w:lang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hAnsi="宋体"/>
          <w:color w:val="auto"/>
          <w:sz w:val="24"/>
          <w:highlight w:val="none"/>
        </w:rPr>
        <w:t>采购项目名称：</w:t>
      </w:r>
      <w:r>
        <w:rPr>
          <w:rFonts w:hint="eastAsia" w:ascii="宋体" w:hAnsi="宋体"/>
          <w:color w:val="auto"/>
          <w:sz w:val="24"/>
          <w:highlight w:val="none"/>
          <w:lang w:eastAsia="zh-CN"/>
        </w:rPr>
        <w:t>东台市实验小学未来实验室建设项目（第三次）</w:t>
      </w:r>
    </w:p>
    <w:p w14:paraId="396E5F1C">
      <w:pPr>
        <w:keepNext w:val="0"/>
        <w:keepLines w:val="0"/>
        <w:pageBreakBefore w:val="0"/>
        <w:spacing w:line="360" w:lineRule="auto"/>
        <w:ind w:left="0" w:firstLine="960"/>
        <w:rPr>
          <w:rFonts w:hint="eastAsia" w:ascii="宋体" w:hAnsi="宋体" w:eastAsiaTheme="minorEastAsia"/>
          <w:color w:val="auto"/>
          <w:sz w:val="24"/>
          <w:highlight w:val="none"/>
          <w:lang w:eastAsia="zh-CN"/>
        </w:rPr>
      </w:pPr>
      <w:r>
        <w:rPr>
          <w:rFonts w:hint="eastAsia" w:ascii="宋体" w:hAnsi="宋体"/>
          <w:color w:val="auto"/>
          <w:sz w:val="24"/>
          <w:highlight w:val="none"/>
        </w:rPr>
        <w:t>采购项目编号：</w:t>
      </w:r>
      <w:r>
        <w:rPr>
          <w:rFonts w:hint="eastAsia" w:ascii="宋体" w:hAnsi="宋体"/>
          <w:color w:val="auto"/>
          <w:sz w:val="24"/>
          <w:highlight w:val="none"/>
          <w:lang w:eastAsia="zh-CN"/>
        </w:rPr>
        <w:t>JSZC-320981-CCGC-G2025-0062</w:t>
      </w:r>
    </w:p>
    <w:p w14:paraId="3CADE7E9">
      <w:pPr>
        <w:keepNext w:val="0"/>
        <w:keepLines w:val="0"/>
        <w:pageBreakBefore w:val="0"/>
        <w:spacing w:line="360" w:lineRule="auto"/>
        <w:ind w:left="0" w:firstLine="480"/>
        <w:rPr>
          <w:rFonts w:hint="eastAsia" w:ascii="宋体" w:hAnsi="宋体" w:eastAsiaTheme="minorEastAsia"/>
          <w:color w:val="auto"/>
          <w:sz w:val="24"/>
          <w:highlight w:val="none"/>
          <w:lang w:val="en-US" w:eastAsia="zh-CN"/>
        </w:rPr>
      </w:pPr>
      <w:r>
        <w:rPr>
          <w:rFonts w:hint="eastAsia" w:ascii="宋体" w:hAnsi="宋体"/>
          <w:color w:val="auto"/>
          <w:sz w:val="24"/>
          <w:highlight w:val="none"/>
        </w:rPr>
        <w:t>（2）采购计划编号：</w:t>
      </w:r>
      <w:r>
        <w:rPr>
          <w:rFonts w:hint="eastAsia" w:ascii="宋体" w:hAnsi="宋体"/>
          <w:color w:val="auto"/>
          <w:sz w:val="24"/>
          <w:highlight w:val="none"/>
          <w:lang w:val="en-US" w:eastAsia="zh-CN"/>
        </w:rPr>
        <w:t>/</w:t>
      </w:r>
    </w:p>
    <w:p w14:paraId="1C852A6C">
      <w:pPr>
        <w:keepNext w:val="0"/>
        <w:keepLines w:val="0"/>
        <w:pageBreakBefore w:val="0"/>
        <w:spacing w:line="360" w:lineRule="auto"/>
        <w:ind w:left="0" w:firstLine="480"/>
        <w:rPr>
          <w:rFonts w:hint="eastAsia" w:ascii="宋体" w:hAnsi="宋体"/>
          <w:color w:val="auto"/>
          <w:sz w:val="24"/>
          <w:highlight w:val="none"/>
        </w:rPr>
      </w:pPr>
      <w:r>
        <w:rPr>
          <w:rFonts w:hint="eastAsia" w:ascii="宋体" w:hAnsi="宋体"/>
          <w:color w:val="auto"/>
          <w:sz w:val="24"/>
          <w:highlight w:val="none"/>
        </w:rPr>
        <w:t>（3）项目内容：</w:t>
      </w:r>
    </w:p>
    <w:p w14:paraId="348D2D9F">
      <w:pPr>
        <w:keepNext w:val="0"/>
        <w:keepLines w:val="0"/>
        <w:pageBreakBefore w:val="0"/>
        <w:spacing w:line="360" w:lineRule="auto"/>
        <w:ind w:left="0" w:firstLine="480"/>
        <w:rPr>
          <w:rFonts w:hint="eastAsia" w:ascii="宋体" w:hAnsi="宋体"/>
          <w:color w:val="auto"/>
          <w:sz w:val="24"/>
          <w:highlight w:val="none"/>
        </w:rPr>
      </w:pPr>
      <w:r>
        <w:rPr>
          <w:rFonts w:hint="eastAsia" w:ascii="宋体" w:hAnsi="宋体"/>
          <w:color w:val="auto"/>
          <w:sz w:val="24"/>
          <w:highlight w:val="none"/>
        </w:rPr>
        <w:t>采购标的及数量：</w:t>
      </w:r>
    </w:p>
    <w:tbl>
      <w:tblPr>
        <w:tblStyle w:val="198"/>
        <w:tblW w:w="44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3"/>
        <w:gridCol w:w="2034"/>
        <w:gridCol w:w="3009"/>
        <w:gridCol w:w="1524"/>
        <w:gridCol w:w="1224"/>
      </w:tblGrid>
      <w:tr w14:paraId="739D1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1054" w:type="dxa"/>
            <w:noWrap w:val="0"/>
            <w:vAlign w:val="center"/>
          </w:tcPr>
          <w:p w14:paraId="5F7B48C3">
            <w:pPr>
              <w:jc w:val="center"/>
              <w:rPr>
                <w:color w:val="auto"/>
                <w:highlight w:val="none"/>
              </w:rPr>
            </w:pPr>
            <w:r>
              <w:rPr>
                <w:rFonts w:hint="eastAsia"/>
                <w:color w:val="auto"/>
                <w:highlight w:val="none"/>
              </w:rPr>
              <w:t>序号</w:t>
            </w:r>
          </w:p>
        </w:tc>
        <w:tc>
          <w:tcPr>
            <w:tcW w:w="2034" w:type="dxa"/>
            <w:noWrap w:val="0"/>
            <w:vAlign w:val="center"/>
          </w:tcPr>
          <w:p w14:paraId="2B01EB74">
            <w:pPr>
              <w:jc w:val="center"/>
              <w:rPr>
                <w:color w:val="auto"/>
                <w:highlight w:val="none"/>
              </w:rPr>
            </w:pPr>
            <w:r>
              <w:rPr>
                <w:rFonts w:hint="eastAsia"/>
                <w:color w:val="auto"/>
                <w:highlight w:val="none"/>
              </w:rPr>
              <w:t>名称</w:t>
            </w:r>
          </w:p>
        </w:tc>
        <w:tc>
          <w:tcPr>
            <w:tcW w:w="3009" w:type="dxa"/>
            <w:noWrap w:val="0"/>
            <w:vAlign w:val="center"/>
          </w:tcPr>
          <w:p w14:paraId="21B9A5AD">
            <w:pPr>
              <w:jc w:val="center"/>
              <w:rPr>
                <w:rFonts w:hint="default" w:eastAsiaTheme="minorEastAsia"/>
                <w:color w:val="auto"/>
                <w:highlight w:val="none"/>
                <w:lang w:val="en-US" w:eastAsia="zh-CN"/>
              </w:rPr>
            </w:pPr>
            <w:r>
              <w:rPr>
                <w:rFonts w:hint="eastAsia"/>
                <w:color w:val="auto"/>
                <w:highlight w:val="none"/>
                <w:lang w:val="en-US" w:eastAsia="zh-CN"/>
              </w:rPr>
              <w:t>品牌、型号（版本号）</w:t>
            </w:r>
          </w:p>
        </w:tc>
        <w:tc>
          <w:tcPr>
            <w:tcW w:w="1524" w:type="dxa"/>
            <w:noWrap w:val="0"/>
            <w:vAlign w:val="center"/>
          </w:tcPr>
          <w:p w14:paraId="2B620971">
            <w:pPr>
              <w:jc w:val="center"/>
              <w:rPr>
                <w:color w:val="auto"/>
                <w:highlight w:val="none"/>
              </w:rPr>
            </w:pPr>
            <w:r>
              <w:rPr>
                <w:rFonts w:hint="eastAsia"/>
                <w:color w:val="auto"/>
                <w:highlight w:val="none"/>
              </w:rPr>
              <w:t>单位</w:t>
            </w:r>
          </w:p>
        </w:tc>
        <w:tc>
          <w:tcPr>
            <w:tcW w:w="1224" w:type="dxa"/>
            <w:noWrap w:val="0"/>
            <w:vAlign w:val="center"/>
          </w:tcPr>
          <w:p w14:paraId="56172F10">
            <w:pPr>
              <w:jc w:val="center"/>
              <w:rPr>
                <w:color w:val="auto"/>
                <w:highlight w:val="none"/>
              </w:rPr>
            </w:pPr>
            <w:r>
              <w:rPr>
                <w:rFonts w:hint="eastAsia"/>
                <w:color w:val="auto"/>
                <w:highlight w:val="none"/>
              </w:rPr>
              <w:t>数量</w:t>
            </w:r>
          </w:p>
        </w:tc>
      </w:tr>
      <w:tr w14:paraId="433EE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0993C26D">
            <w:pPr>
              <w:keepNext w:val="0"/>
              <w:keepLines w:val="0"/>
              <w:widowControl/>
              <w:suppressLineNumbers w:val="0"/>
              <w:jc w:val="center"/>
              <w:rPr>
                <w:color w:val="auto"/>
                <w:highlight w:val="none"/>
              </w:rPr>
            </w:pPr>
            <w:r>
              <w:rPr>
                <w:rFonts w:hint="eastAsia" w:ascii="仿宋" w:hAnsi="仿宋" w:eastAsia="仿宋" w:cs="仿宋"/>
                <w:i w:val="0"/>
                <w:iCs w:val="0"/>
                <w:color w:val="auto"/>
                <w:sz w:val="21"/>
                <w:szCs w:val="21"/>
                <w:highlight w:val="none"/>
                <w:u w:val="none"/>
                <w:lang w:val="en-US" w:eastAsia="zh-CN"/>
              </w:rPr>
              <w:t>1</w:t>
            </w:r>
          </w:p>
        </w:tc>
        <w:tc>
          <w:tcPr>
            <w:tcW w:w="2034" w:type="dxa"/>
            <w:noWrap w:val="0"/>
            <w:vAlign w:val="center"/>
          </w:tcPr>
          <w:p w14:paraId="113C7FFC">
            <w:pPr>
              <w:keepNext w:val="0"/>
              <w:keepLines w:val="0"/>
              <w:widowControl/>
              <w:suppressLineNumbers w:val="0"/>
              <w:jc w:val="center"/>
              <w:rPr>
                <w:rFonts w:hint="eastAsia"/>
                <w:color w:val="auto"/>
                <w:highlight w:val="none"/>
                <w:lang w:eastAsia="zh-CN"/>
              </w:rPr>
            </w:pPr>
          </w:p>
        </w:tc>
        <w:tc>
          <w:tcPr>
            <w:tcW w:w="3009" w:type="dxa"/>
            <w:noWrap w:val="0"/>
            <w:vAlign w:val="center"/>
          </w:tcPr>
          <w:p w14:paraId="41A3BBE1">
            <w:pPr>
              <w:jc w:val="center"/>
              <w:rPr>
                <w:rFonts w:hint="eastAsia"/>
                <w:color w:val="auto"/>
                <w:highlight w:val="none"/>
              </w:rPr>
            </w:pPr>
          </w:p>
        </w:tc>
        <w:tc>
          <w:tcPr>
            <w:tcW w:w="1524" w:type="dxa"/>
            <w:noWrap w:val="0"/>
            <w:vAlign w:val="center"/>
          </w:tcPr>
          <w:p w14:paraId="7DC0F2D6">
            <w:pPr>
              <w:keepNext w:val="0"/>
              <w:keepLines w:val="0"/>
              <w:widowControl/>
              <w:suppressLineNumbers w:val="0"/>
              <w:jc w:val="center"/>
              <w:rPr>
                <w:rFonts w:hint="eastAsia"/>
                <w:color w:val="auto"/>
                <w:highlight w:val="none"/>
              </w:rPr>
            </w:pPr>
          </w:p>
        </w:tc>
        <w:tc>
          <w:tcPr>
            <w:tcW w:w="1224" w:type="dxa"/>
            <w:noWrap w:val="0"/>
            <w:vAlign w:val="center"/>
          </w:tcPr>
          <w:p w14:paraId="67E58BA6">
            <w:pPr>
              <w:keepNext w:val="0"/>
              <w:keepLines w:val="0"/>
              <w:widowControl/>
              <w:suppressLineNumbers w:val="0"/>
              <w:jc w:val="center"/>
              <w:rPr>
                <w:rFonts w:hint="eastAsia"/>
                <w:color w:val="auto"/>
                <w:highlight w:val="none"/>
              </w:rPr>
            </w:pPr>
          </w:p>
        </w:tc>
      </w:tr>
      <w:tr w14:paraId="1E711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510C6810">
            <w:pPr>
              <w:keepNext w:val="0"/>
              <w:keepLines w:val="0"/>
              <w:widowControl/>
              <w:suppressLineNumbers w:val="0"/>
              <w:jc w:val="center"/>
              <w:rPr>
                <w:rFonts w:hint="eastAsia"/>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rPr>
              <w:t>2</w:t>
            </w:r>
          </w:p>
        </w:tc>
        <w:tc>
          <w:tcPr>
            <w:tcW w:w="2034" w:type="dxa"/>
            <w:noWrap w:val="0"/>
            <w:vAlign w:val="center"/>
          </w:tcPr>
          <w:p w14:paraId="706FD307">
            <w:pPr>
              <w:keepNext w:val="0"/>
              <w:keepLines w:val="0"/>
              <w:widowControl/>
              <w:suppressLineNumbers w:val="0"/>
              <w:jc w:val="center"/>
              <w:rPr>
                <w:rFonts w:hint="eastAsia"/>
                <w:color w:val="auto"/>
                <w:highlight w:val="none"/>
                <w:lang w:eastAsia="zh-CN"/>
              </w:rPr>
            </w:pPr>
          </w:p>
        </w:tc>
        <w:tc>
          <w:tcPr>
            <w:tcW w:w="3009" w:type="dxa"/>
            <w:noWrap w:val="0"/>
            <w:vAlign w:val="center"/>
          </w:tcPr>
          <w:p w14:paraId="54A33903">
            <w:pPr>
              <w:jc w:val="center"/>
              <w:rPr>
                <w:rFonts w:hint="eastAsia"/>
                <w:color w:val="auto"/>
                <w:highlight w:val="none"/>
              </w:rPr>
            </w:pPr>
          </w:p>
        </w:tc>
        <w:tc>
          <w:tcPr>
            <w:tcW w:w="1524" w:type="dxa"/>
            <w:noWrap w:val="0"/>
            <w:vAlign w:val="center"/>
          </w:tcPr>
          <w:p w14:paraId="045E2331">
            <w:pPr>
              <w:keepNext w:val="0"/>
              <w:keepLines w:val="0"/>
              <w:widowControl/>
              <w:suppressLineNumbers w:val="0"/>
              <w:jc w:val="center"/>
              <w:rPr>
                <w:rFonts w:hint="eastAsia"/>
                <w:color w:val="auto"/>
                <w:highlight w:val="none"/>
              </w:rPr>
            </w:pPr>
          </w:p>
        </w:tc>
        <w:tc>
          <w:tcPr>
            <w:tcW w:w="1224" w:type="dxa"/>
            <w:noWrap w:val="0"/>
            <w:vAlign w:val="center"/>
          </w:tcPr>
          <w:p w14:paraId="17F8C50D">
            <w:pPr>
              <w:keepNext w:val="0"/>
              <w:keepLines w:val="0"/>
              <w:widowControl/>
              <w:suppressLineNumbers w:val="0"/>
              <w:jc w:val="center"/>
              <w:rPr>
                <w:rFonts w:hint="eastAsia"/>
                <w:color w:val="auto"/>
                <w:highlight w:val="none"/>
              </w:rPr>
            </w:pPr>
          </w:p>
        </w:tc>
      </w:tr>
      <w:tr w14:paraId="0A67C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0FEEA177">
            <w:pPr>
              <w:keepNext w:val="0"/>
              <w:keepLines w:val="0"/>
              <w:widowControl/>
              <w:suppressLineNumbers w:val="0"/>
              <w:jc w:val="center"/>
              <w:rPr>
                <w:rFonts w:hint="eastAsia"/>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rPr>
              <w:t>3</w:t>
            </w:r>
          </w:p>
        </w:tc>
        <w:tc>
          <w:tcPr>
            <w:tcW w:w="2034" w:type="dxa"/>
            <w:noWrap w:val="0"/>
            <w:vAlign w:val="center"/>
          </w:tcPr>
          <w:p w14:paraId="1F4193CD">
            <w:pPr>
              <w:keepNext w:val="0"/>
              <w:keepLines w:val="0"/>
              <w:widowControl/>
              <w:suppressLineNumbers w:val="0"/>
              <w:jc w:val="center"/>
              <w:rPr>
                <w:rFonts w:hint="eastAsia"/>
                <w:color w:val="auto"/>
                <w:highlight w:val="none"/>
                <w:lang w:eastAsia="zh-CN"/>
              </w:rPr>
            </w:pPr>
          </w:p>
        </w:tc>
        <w:tc>
          <w:tcPr>
            <w:tcW w:w="3009" w:type="dxa"/>
            <w:noWrap w:val="0"/>
            <w:vAlign w:val="center"/>
          </w:tcPr>
          <w:p w14:paraId="42A18FC5">
            <w:pPr>
              <w:jc w:val="center"/>
              <w:rPr>
                <w:rFonts w:hint="eastAsia"/>
                <w:color w:val="auto"/>
                <w:highlight w:val="none"/>
              </w:rPr>
            </w:pPr>
          </w:p>
        </w:tc>
        <w:tc>
          <w:tcPr>
            <w:tcW w:w="1524" w:type="dxa"/>
            <w:noWrap w:val="0"/>
            <w:vAlign w:val="center"/>
          </w:tcPr>
          <w:p w14:paraId="578E4766">
            <w:pPr>
              <w:keepNext w:val="0"/>
              <w:keepLines w:val="0"/>
              <w:widowControl/>
              <w:suppressLineNumbers w:val="0"/>
              <w:jc w:val="center"/>
              <w:rPr>
                <w:rFonts w:hint="eastAsia"/>
                <w:color w:val="auto"/>
                <w:highlight w:val="none"/>
              </w:rPr>
            </w:pPr>
          </w:p>
        </w:tc>
        <w:tc>
          <w:tcPr>
            <w:tcW w:w="1224" w:type="dxa"/>
            <w:noWrap w:val="0"/>
            <w:vAlign w:val="center"/>
          </w:tcPr>
          <w:p w14:paraId="7FCC8C78">
            <w:pPr>
              <w:keepNext w:val="0"/>
              <w:keepLines w:val="0"/>
              <w:widowControl/>
              <w:suppressLineNumbers w:val="0"/>
              <w:jc w:val="center"/>
              <w:rPr>
                <w:rFonts w:hint="eastAsia"/>
                <w:color w:val="auto"/>
                <w:highlight w:val="none"/>
              </w:rPr>
            </w:pPr>
          </w:p>
        </w:tc>
      </w:tr>
      <w:tr w14:paraId="669FF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09CB50EE">
            <w:pPr>
              <w:keepNext w:val="0"/>
              <w:keepLines w:val="0"/>
              <w:widowControl/>
              <w:suppressLineNumbers w:val="0"/>
              <w:jc w:val="center"/>
              <w:rPr>
                <w:rFonts w:hint="eastAsia"/>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rPr>
              <w:t>4</w:t>
            </w:r>
          </w:p>
        </w:tc>
        <w:tc>
          <w:tcPr>
            <w:tcW w:w="2034" w:type="dxa"/>
            <w:noWrap w:val="0"/>
            <w:vAlign w:val="center"/>
          </w:tcPr>
          <w:p w14:paraId="7382318E">
            <w:pPr>
              <w:keepNext w:val="0"/>
              <w:keepLines w:val="0"/>
              <w:widowControl/>
              <w:suppressLineNumbers w:val="0"/>
              <w:jc w:val="center"/>
              <w:rPr>
                <w:rFonts w:hint="eastAsia"/>
                <w:color w:val="auto"/>
                <w:highlight w:val="none"/>
                <w:lang w:eastAsia="zh-CN"/>
              </w:rPr>
            </w:pPr>
          </w:p>
        </w:tc>
        <w:tc>
          <w:tcPr>
            <w:tcW w:w="3009" w:type="dxa"/>
            <w:noWrap w:val="0"/>
            <w:vAlign w:val="center"/>
          </w:tcPr>
          <w:p w14:paraId="169AB1C3">
            <w:pPr>
              <w:jc w:val="center"/>
              <w:rPr>
                <w:rFonts w:hint="eastAsia"/>
                <w:color w:val="auto"/>
                <w:highlight w:val="none"/>
              </w:rPr>
            </w:pPr>
          </w:p>
        </w:tc>
        <w:tc>
          <w:tcPr>
            <w:tcW w:w="1524" w:type="dxa"/>
            <w:noWrap w:val="0"/>
            <w:vAlign w:val="center"/>
          </w:tcPr>
          <w:p w14:paraId="16FBEEAC">
            <w:pPr>
              <w:keepNext w:val="0"/>
              <w:keepLines w:val="0"/>
              <w:widowControl/>
              <w:suppressLineNumbers w:val="0"/>
              <w:jc w:val="center"/>
              <w:rPr>
                <w:rFonts w:hint="eastAsia"/>
                <w:color w:val="auto"/>
                <w:highlight w:val="none"/>
              </w:rPr>
            </w:pPr>
          </w:p>
        </w:tc>
        <w:tc>
          <w:tcPr>
            <w:tcW w:w="1224" w:type="dxa"/>
            <w:noWrap w:val="0"/>
            <w:vAlign w:val="center"/>
          </w:tcPr>
          <w:p w14:paraId="2642EC75">
            <w:pPr>
              <w:keepNext w:val="0"/>
              <w:keepLines w:val="0"/>
              <w:widowControl/>
              <w:suppressLineNumbers w:val="0"/>
              <w:jc w:val="center"/>
              <w:rPr>
                <w:rFonts w:hint="eastAsia"/>
                <w:color w:val="auto"/>
                <w:highlight w:val="none"/>
              </w:rPr>
            </w:pPr>
          </w:p>
        </w:tc>
      </w:tr>
      <w:tr w14:paraId="473EB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054" w:type="dxa"/>
            <w:noWrap w:val="0"/>
            <w:vAlign w:val="center"/>
          </w:tcPr>
          <w:p w14:paraId="32735761">
            <w:pPr>
              <w:keepNext w:val="0"/>
              <w:keepLines w:val="0"/>
              <w:widowControl/>
              <w:suppressLineNumbers w:val="0"/>
              <w:jc w:val="center"/>
              <w:rPr>
                <w:rFonts w:hint="eastAsia"/>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rPr>
              <w:t>5</w:t>
            </w:r>
          </w:p>
        </w:tc>
        <w:tc>
          <w:tcPr>
            <w:tcW w:w="2034" w:type="dxa"/>
            <w:noWrap w:val="0"/>
            <w:vAlign w:val="center"/>
          </w:tcPr>
          <w:p w14:paraId="5BB57C0B">
            <w:pPr>
              <w:keepNext w:val="0"/>
              <w:keepLines w:val="0"/>
              <w:pageBreakBefore w:val="0"/>
              <w:widowControl/>
              <w:suppressLineNumbers w:val="0"/>
              <w:spacing w:line="360" w:lineRule="exact"/>
              <w:jc w:val="center"/>
              <w:rPr>
                <w:rFonts w:hint="eastAsia"/>
                <w:color w:val="auto"/>
                <w:highlight w:val="none"/>
                <w:lang w:eastAsia="zh-CN"/>
              </w:rPr>
            </w:pPr>
          </w:p>
        </w:tc>
        <w:tc>
          <w:tcPr>
            <w:tcW w:w="3009" w:type="dxa"/>
            <w:noWrap w:val="0"/>
            <w:vAlign w:val="center"/>
          </w:tcPr>
          <w:p w14:paraId="59F47C43">
            <w:pPr>
              <w:jc w:val="center"/>
              <w:rPr>
                <w:rFonts w:hint="eastAsia"/>
                <w:color w:val="auto"/>
                <w:highlight w:val="none"/>
              </w:rPr>
            </w:pPr>
          </w:p>
        </w:tc>
        <w:tc>
          <w:tcPr>
            <w:tcW w:w="1524" w:type="dxa"/>
            <w:noWrap w:val="0"/>
            <w:vAlign w:val="center"/>
          </w:tcPr>
          <w:p w14:paraId="619CE43D">
            <w:pPr>
              <w:keepNext w:val="0"/>
              <w:keepLines w:val="0"/>
              <w:widowControl/>
              <w:suppressLineNumbers w:val="0"/>
              <w:jc w:val="center"/>
              <w:rPr>
                <w:rFonts w:hint="eastAsia"/>
                <w:color w:val="auto"/>
                <w:highlight w:val="none"/>
              </w:rPr>
            </w:pPr>
          </w:p>
        </w:tc>
        <w:tc>
          <w:tcPr>
            <w:tcW w:w="1224" w:type="dxa"/>
            <w:noWrap w:val="0"/>
            <w:vAlign w:val="center"/>
          </w:tcPr>
          <w:p w14:paraId="13C3CCB6">
            <w:pPr>
              <w:keepNext w:val="0"/>
              <w:keepLines w:val="0"/>
              <w:widowControl/>
              <w:suppressLineNumbers w:val="0"/>
              <w:jc w:val="center"/>
              <w:rPr>
                <w:rFonts w:hint="eastAsia"/>
                <w:color w:val="auto"/>
                <w:highlight w:val="none"/>
              </w:rPr>
            </w:pPr>
          </w:p>
        </w:tc>
      </w:tr>
      <w:tr w14:paraId="32B2C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1E643419">
            <w:pPr>
              <w:keepNext w:val="0"/>
              <w:keepLines w:val="0"/>
              <w:widowControl/>
              <w:suppressLineNumbers w:val="0"/>
              <w:jc w:val="center"/>
              <w:rPr>
                <w:rFonts w:hint="eastAsia"/>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rPr>
              <w:t>6</w:t>
            </w:r>
          </w:p>
        </w:tc>
        <w:tc>
          <w:tcPr>
            <w:tcW w:w="2034" w:type="dxa"/>
            <w:noWrap w:val="0"/>
            <w:vAlign w:val="center"/>
          </w:tcPr>
          <w:p w14:paraId="3424F698">
            <w:pPr>
              <w:keepNext w:val="0"/>
              <w:keepLines w:val="0"/>
              <w:widowControl/>
              <w:suppressLineNumbers w:val="0"/>
              <w:jc w:val="center"/>
              <w:rPr>
                <w:rFonts w:hint="eastAsia"/>
                <w:color w:val="auto"/>
                <w:highlight w:val="none"/>
                <w:lang w:eastAsia="zh-CN"/>
              </w:rPr>
            </w:pPr>
          </w:p>
        </w:tc>
        <w:tc>
          <w:tcPr>
            <w:tcW w:w="3009" w:type="dxa"/>
            <w:noWrap w:val="0"/>
            <w:vAlign w:val="center"/>
          </w:tcPr>
          <w:p w14:paraId="31E13AAE">
            <w:pPr>
              <w:jc w:val="center"/>
              <w:rPr>
                <w:rFonts w:hint="eastAsia"/>
                <w:color w:val="auto"/>
                <w:highlight w:val="none"/>
              </w:rPr>
            </w:pPr>
          </w:p>
        </w:tc>
        <w:tc>
          <w:tcPr>
            <w:tcW w:w="1524" w:type="dxa"/>
            <w:noWrap w:val="0"/>
            <w:vAlign w:val="center"/>
          </w:tcPr>
          <w:p w14:paraId="15B71AE3">
            <w:pPr>
              <w:keepNext w:val="0"/>
              <w:keepLines w:val="0"/>
              <w:widowControl/>
              <w:suppressLineNumbers w:val="0"/>
              <w:jc w:val="center"/>
              <w:rPr>
                <w:rFonts w:hint="eastAsia"/>
                <w:color w:val="auto"/>
                <w:highlight w:val="none"/>
              </w:rPr>
            </w:pPr>
          </w:p>
        </w:tc>
        <w:tc>
          <w:tcPr>
            <w:tcW w:w="1224" w:type="dxa"/>
            <w:noWrap w:val="0"/>
            <w:vAlign w:val="center"/>
          </w:tcPr>
          <w:p w14:paraId="0FA68363">
            <w:pPr>
              <w:keepNext w:val="0"/>
              <w:keepLines w:val="0"/>
              <w:widowControl/>
              <w:suppressLineNumbers w:val="0"/>
              <w:jc w:val="center"/>
              <w:rPr>
                <w:rFonts w:hint="eastAsia"/>
                <w:color w:val="auto"/>
                <w:highlight w:val="none"/>
              </w:rPr>
            </w:pPr>
          </w:p>
        </w:tc>
      </w:tr>
      <w:tr w14:paraId="39896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2F4BDE9A">
            <w:pPr>
              <w:keepNext w:val="0"/>
              <w:keepLines w:val="0"/>
              <w:widowControl/>
              <w:suppressLineNumbers w:val="0"/>
              <w:jc w:val="center"/>
              <w:rPr>
                <w:rFonts w:hint="eastAsia"/>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rPr>
              <w:t>7</w:t>
            </w:r>
          </w:p>
        </w:tc>
        <w:tc>
          <w:tcPr>
            <w:tcW w:w="2034" w:type="dxa"/>
            <w:noWrap w:val="0"/>
            <w:vAlign w:val="center"/>
          </w:tcPr>
          <w:p w14:paraId="78C59D09">
            <w:pPr>
              <w:keepNext w:val="0"/>
              <w:keepLines w:val="0"/>
              <w:widowControl/>
              <w:suppressLineNumbers w:val="0"/>
              <w:jc w:val="center"/>
              <w:rPr>
                <w:rFonts w:hint="eastAsia"/>
                <w:color w:val="auto"/>
                <w:highlight w:val="none"/>
              </w:rPr>
            </w:pPr>
          </w:p>
        </w:tc>
        <w:tc>
          <w:tcPr>
            <w:tcW w:w="3009" w:type="dxa"/>
            <w:noWrap w:val="0"/>
            <w:vAlign w:val="center"/>
          </w:tcPr>
          <w:p w14:paraId="68484BBF">
            <w:pPr>
              <w:jc w:val="center"/>
              <w:rPr>
                <w:rFonts w:hint="eastAsia"/>
                <w:color w:val="auto"/>
                <w:highlight w:val="none"/>
              </w:rPr>
            </w:pPr>
          </w:p>
        </w:tc>
        <w:tc>
          <w:tcPr>
            <w:tcW w:w="1524" w:type="dxa"/>
            <w:noWrap w:val="0"/>
            <w:vAlign w:val="center"/>
          </w:tcPr>
          <w:p w14:paraId="7711B7E1">
            <w:pPr>
              <w:keepNext w:val="0"/>
              <w:keepLines w:val="0"/>
              <w:widowControl/>
              <w:suppressLineNumbers w:val="0"/>
              <w:jc w:val="center"/>
              <w:rPr>
                <w:rFonts w:hint="eastAsia"/>
                <w:color w:val="auto"/>
                <w:highlight w:val="none"/>
                <w:lang w:eastAsia="zh-CN"/>
              </w:rPr>
            </w:pPr>
          </w:p>
        </w:tc>
        <w:tc>
          <w:tcPr>
            <w:tcW w:w="1224" w:type="dxa"/>
            <w:noWrap w:val="0"/>
            <w:vAlign w:val="center"/>
          </w:tcPr>
          <w:p w14:paraId="28526DB5">
            <w:pPr>
              <w:keepNext w:val="0"/>
              <w:keepLines w:val="0"/>
              <w:widowControl/>
              <w:suppressLineNumbers w:val="0"/>
              <w:jc w:val="center"/>
              <w:rPr>
                <w:rFonts w:hint="eastAsia"/>
                <w:color w:val="auto"/>
                <w:highlight w:val="none"/>
                <w:lang w:eastAsia="zh-CN"/>
              </w:rPr>
            </w:pPr>
          </w:p>
        </w:tc>
      </w:tr>
      <w:tr w14:paraId="1A3DA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jc w:val="center"/>
        </w:trPr>
        <w:tc>
          <w:tcPr>
            <w:tcW w:w="1054" w:type="dxa"/>
            <w:noWrap w:val="0"/>
            <w:vAlign w:val="center"/>
          </w:tcPr>
          <w:p w14:paraId="6A46C616">
            <w:pPr>
              <w:keepNext w:val="0"/>
              <w:keepLines w:val="0"/>
              <w:widowControl/>
              <w:suppressLineNumbers w:val="0"/>
              <w:jc w:val="center"/>
              <w:rPr>
                <w:rFonts w:hint="eastAsia"/>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rPr>
              <w:t>8</w:t>
            </w:r>
          </w:p>
        </w:tc>
        <w:tc>
          <w:tcPr>
            <w:tcW w:w="2034" w:type="dxa"/>
            <w:noWrap w:val="0"/>
            <w:vAlign w:val="center"/>
          </w:tcPr>
          <w:p w14:paraId="2B22A332">
            <w:pPr>
              <w:keepNext w:val="0"/>
              <w:keepLines w:val="0"/>
              <w:widowControl/>
              <w:suppressLineNumbers w:val="0"/>
              <w:jc w:val="center"/>
              <w:rPr>
                <w:rFonts w:hint="eastAsia"/>
                <w:color w:val="auto"/>
                <w:highlight w:val="none"/>
                <w:lang w:eastAsia="zh-CN"/>
              </w:rPr>
            </w:pPr>
          </w:p>
        </w:tc>
        <w:tc>
          <w:tcPr>
            <w:tcW w:w="3009" w:type="dxa"/>
            <w:noWrap w:val="0"/>
            <w:vAlign w:val="center"/>
          </w:tcPr>
          <w:p w14:paraId="33BB31C9">
            <w:pPr>
              <w:jc w:val="center"/>
              <w:rPr>
                <w:rFonts w:hint="eastAsia"/>
                <w:color w:val="auto"/>
                <w:highlight w:val="none"/>
              </w:rPr>
            </w:pPr>
          </w:p>
        </w:tc>
        <w:tc>
          <w:tcPr>
            <w:tcW w:w="1524" w:type="dxa"/>
            <w:noWrap w:val="0"/>
            <w:vAlign w:val="center"/>
          </w:tcPr>
          <w:p w14:paraId="2F90A5EA">
            <w:pPr>
              <w:keepNext w:val="0"/>
              <w:keepLines w:val="0"/>
              <w:widowControl/>
              <w:suppressLineNumbers w:val="0"/>
              <w:jc w:val="center"/>
              <w:rPr>
                <w:rFonts w:hint="eastAsia"/>
                <w:color w:val="auto"/>
                <w:highlight w:val="none"/>
              </w:rPr>
            </w:pPr>
          </w:p>
        </w:tc>
        <w:tc>
          <w:tcPr>
            <w:tcW w:w="1224" w:type="dxa"/>
            <w:noWrap w:val="0"/>
            <w:vAlign w:val="center"/>
          </w:tcPr>
          <w:p w14:paraId="5DC7C21A">
            <w:pPr>
              <w:keepNext w:val="0"/>
              <w:keepLines w:val="0"/>
              <w:widowControl/>
              <w:suppressLineNumbers w:val="0"/>
              <w:jc w:val="center"/>
              <w:rPr>
                <w:rFonts w:hint="eastAsia"/>
                <w:color w:val="auto"/>
                <w:highlight w:val="none"/>
              </w:rPr>
            </w:pPr>
          </w:p>
        </w:tc>
      </w:tr>
      <w:tr w14:paraId="42EE8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054" w:type="dxa"/>
            <w:noWrap w:val="0"/>
            <w:vAlign w:val="center"/>
          </w:tcPr>
          <w:p w14:paraId="2DE77C70">
            <w:pPr>
              <w:keepNext w:val="0"/>
              <w:keepLines w:val="0"/>
              <w:widowControl/>
              <w:suppressLineNumbers w:val="0"/>
              <w:jc w:val="center"/>
              <w:rPr>
                <w:rFonts w:hint="eastAsia"/>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rPr>
              <w:t>9</w:t>
            </w:r>
          </w:p>
        </w:tc>
        <w:tc>
          <w:tcPr>
            <w:tcW w:w="2034" w:type="dxa"/>
            <w:noWrap w:val="0"/>
            <w:vAlign w:val="center"/>
          </w:tcPr>
          <w:p w14:paraId="7AC0C051">
            <w:pPr>
              <w:keepNext w:val="0"/>
              <w:keepLines w:val="0"/>
              <w:pageBreakBefore w:val="0"/>
              <w:widowControl/>
              <w:suppressLineNumbers w:val="0"/>
              <w:spacing w:line="360" w:lineRule="exact"/>
              <w:jc w:val="center"/>
              <w:rPr>
                <w:rFonts w:hint="eastAsia"/>
                <w:color w:val="auto"/>
                <w:highlight w:val="none"/>
              </w:rPr>
            </w:pPr>
          </w:p>
        </w:tc>
        <w:tc>
          <w:tcPr>
            <w:tcW w:w="3009" w:type="dxa"/>
            <w:noWrap w:val="0"/>
            <w:vAlign w:val="center"/>
          </w:tcPr>
          <w:p w14:paraId="426D4B56">
            <w:pPr>
              <w:jc w:val="center"/>
              <w:rPr>
                <w:rFonts w:hint="eastAsia"/>
                <w:color w:val="auto"/>
                <w:highlight w:val="none"/>
              </w:rPr>
            </w:pPr>
          </w:p>
        </w:tc>
        <w:tc>
          <w:tcPr>
            <w:tcW w:w="1524" w:type="dxa"/>
            <w:noWrap w:val="0"/>
            <w:vAlign w:val="center"/>
          </w:tcPr>
          <w:p w14:paraId="17C53C09">
            <w:pPr>
              <w:keepNext w:val="0"/>
              <w:keepLines w:val="0"/>
              <w:widowControl/>
              <w:suppressLineNumbers w:val="0"/>
              <w:jc w:val="center"/>
              <w:rPr>
                <w:rFonts w:hint="eastAsia"/>
                <w:color w:val="auto"/>
                <w:highlight w:val="none"/>
                <w:lang w:val="en-US" w:eastAsia="zh-CN"/>
              </w:rPr>
            </w:pPr>
          </w:p>
        </w:tc>
        <w:tc>
          <w:tcPr>
            <w:tcW w:w="1224" w:type="dxa"/>
            <w:noWrap w:val="0"/>
            <w:vAlign w:val="center"/>
          </w:tcPr>
          <w:p w14:paraId="54FF8051">
            <w:pPr>
              <w:keepNext w:val="0"/>
              <w:keepLines w:val="0"/>
              <w:widowControl/>
              <w:suppressLineNumbers w:val="0"/>
              <w:jc w:val="center"/>
              <w:rPr>
                <w:rFonts w:hint="eastAsia"/>
                <w:color w:val="auto"/>
                <w:highlight w:val="none"/>
                <w:lang w:val="en-US" w:eastAsia="zh-CN"/>
              </w:rPr>
            </w:pPr>
          </w:p>
        </w:tc>
      </w:tr>
      <w:tr w14:paraId="1C6CB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054" w:type="dxa"/>
            <w:noWrap w:val="0"/>
            <w:vAlign w:val="center"/>
          </w:tcPr>
          <w:p w14:paraId="3B0F058C">
            <w:pPr>
              <w:keepNext w:val="0"/>
              <w:keepLines w:val="0"/>
              <w:widowControl/>
              <w:suppressLineNumbers w:val="0"/>
              <w:jc w:val="center"/>
              <w:rPr>
                <w:rFonts w:hint="default"/>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rPr>
              <w:t>10</w:t>
            </w:r>
          </w:p>
        </w:tc>
        <w:tc>
          <w:tcPr>
            <w:tcW w:w="2034" w:type="dxa"/>
            <w:noWrap w:val="0"/>
            <w:vAlign w:val="center"/>
          </w:tcPr>
          <w:p w14:paraId="02FC797E">
            <w:pPr>
              <w:keepNext w:val="0"/>
              <w:keepLines w:val="0"/>
              <w:pageBreakBefore w:val="0"/>
              <w:widowControl/>
              <w:suppressLineNumbers w:val="0"/>
              <w:spacing w:line="360" w:lineRule="exact"/>
              <w:jc w:val="center"/>
              <w:rPr>
                <w:rFonts w:hint="eastAsia"/>
                <w:color w:val="auto"/>
                <w:highlight w:val="none"/>
              </w:rPr>
            </w:pPr>
          </w:p>
        </w:tc>
        <w:tc>
          <w:tcPr>
            <w:tcW w:w="3009" w:type="dxa"/>
            <w:noWrap w:val="0"/>
            <w:vAlign w:val="center"/>
          </w:tcPr>
          <w:p w14:paraId="34017C42">
            <w:pPr>
              <w:jc w:val="center"/>
              <w:rPr>
                <w:rFonts w:hint="eastAsia"/>
                <w:color w:val="auto"/>
                <w:highlight w:val="none"/>
              </w:rPr>
            </w:pPr>
          </w:p>
        </w:tc>
        <w:tc>
          <w:tcPr>
            <w:tcW w:w="1524" w:type="dxa"/>
            <w:noWrap w:val="0"/>
            <w:vAlign w:val="center"/>
          </w:tcPr>
          <w:p w14:paraId="0588B0E2">
            <w:pPr>
              <w:keepNext w:val="0"/>
              <w:keepLines w:val="0"/>
              <w:widowControl/>
              <w:suppressLineNumbers w:val="0"/>
              <w:jc w:val="center"/>
              <w:rPr>
                <w:rFonts w:hint="eastAsia"/>
                <w:color w:val="auto"/>
                <w:highlight w:val="none"/>
                <w:lang w:val="en-US" w:eastAsia="zh-CN"/>
              </w:rPr>
            </w:pPr>
          </w:p>
        </w:tc>
        <w:tc>
          <w:tcPr>
            <w:tcW w:w="1224" w:type="dxa"/>
            <w:noWrap w:val="0"/>
            <w:vAlign w:val="center"/>
          </w:tcPr>
          <w:p w14:paraId="6431BB47">
            <w:pPr>
              <w:keepNext w:val="0"/>
              <w:keepLines w:val="0"/>
              <w:widowControl/>
              <w:suppressLineNumbers w:val="0"/>
              <w:jc w:val="center"/>
              <w:rPr>
                <w:rFonts w:hint="eastAsia"/>
                <w:color w:val="auto"/>
                <w:highlight w:val="none"/>
                <w:lang w:val="en-US" w:eastAsia="zh-CN"/>
              </w:rPr>
            </w:pPr>
          </w:p>
        </w:tc>
      </w:tr>
    </w:tbl>
    <w:p w14:paraId="7FA26252">
      <w:pPr>
        <w:keepNext w:val="0"/>
        <w:keepLines w:val="0"/>
        <w:pageBreakBefore w:val="0"/>
        <w:numPr>
          <w:ilvl w:val="255"/>
          <w:numId w:val="0"/>
        </w:numPr>
        <w:spacing w:line="360" w:lineRule="auto"/>
        <w:ind w:left="0" w:firstLine="480"/>
        <w:rPr>
          <w:rFonts w:ascii="宋体" w:hAnsi="宋体"/>
          <w:color w:val="auto"/>
          <w:sz w:val="24"/>
          <w:highlight w:val="none"/>
          <w:u w:val="single"/>
        </w:rPr>
      </w:pPr>
      <w:r>
        <w:rPr>
          <w:rFonts w:hint="eastAsia" w:ascii="宋体" w:hAnsi="宋体"/>
          <w:color w:val="auto"/>
          <w:sz w:val="24"/>
          <w:highlight w:val="none"/>
        </w:rPr>
        <w:t>采购标的的技术要求、商务要求具体见附件。</w:t>
      </w:r>
    </w:p>
    <w:p w14:paraId="45B20C1F">
      <w:pPr>
        <w:keepNext w:val="0"/>
        <w:keepLines w:val="0"/>
        <w:pageBreakBefore w:val="0"/>
        <w:numPr>
          <w:ilvl w:val="255"/>
          <w:numId w:val="0"/>
        </w:numPr>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①涉及信息类产品，请填写该产品关键部件的品牌、型号：</w:t>
      </w:r>
    </w:p>
    <w:p w14:paraId="6CC4A716">
      <w:pPr>
        <w:keepNext w:val="0"/>
        <w:keepLines w:val="0"/>
        <w:pageBreakBefore w:val="0"/>
        <w:numPr>
          <w:ilvl w:val="255"/>
          <w:numId w:val="0"/>
        </w:numPr>
        <w:spacing w:line="360" w:lineRule="auto"/>
        <w:ind w:left="0" w:firstLine="480"/>
        <w:rPr>
          <w:rFonts w:ascii="宋体" w:hAnsi="宋体" w:cs="宋体"/>
          <w:color w:val="auto"/>
          <w:sz w:val="24"/>
          <w:highlight w:val="none"/>
          <w:u w:val="single"/>
        </w:rPr>
      </w:pPr>
      <w:r>
        <w:rPr>
          <w:rFonts w:hint="eastAsia" w:ascii="宋体" w:hAnsi="宋体" w:cs="宋体"/>
          <w:color w:val="auto"/>
          <w:sz w:val="24"/>
          <w:highlight w:val="none"/>
        </w:rPr>
        <w:t>标的名称：</w:t>
      </w:r>
    </w:p>
    <w:p w14:paraId="0B404947">
      <w:pPr>
        <w:keepNext w:val="0"/>
        <w:keepLines w:val="0"/>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52E8C126">
      <w:pPr>
        <w:pStyle w:val="192"/>
        <w:keepNext w:val="0"/>
        <w:keepLines w:val="0"/>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504B6F67">
      <w:pPr>
        <w:pStyle w:val="192"/>
        <w:keepNext w:val="0"/>
        <w:keepLines w:val="0"/>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p>
    <w:p w14:paraId="386E8B78">
      <w:pPr>
        <w:keepNext w:val="0"/>
        <w:keepLines w:val="0"/>
        <w:pageBreakBefore w:val="0"/>
        <w:widowControl/>
        <w:numPr>
          <w:ilvl w:val="255"/>
          <w:numId w:val="0"/>
        </w:numPr>
        <w:spacing w:line="360" w:lineRule="auto"/>
        <w:ind w:left="0" w:firstLine="480"/>
        <w:jc w:val="left"/>
        <w:rPr>
          <w:rFonts w:ascii="宋体" w:hAnsi="宋体" w:cs="宋体"/>
          <w:color w:val="auto"/>
          <w:sz w:val="24"/>
          <w:highlight w:val="none"/>
        </w:rPr>
      </w:pPr>
      <w:r>
        <w:rPr>
          <w:rFonts w:hint="eastAsia" w:ascii="宋体" w:hAnsi="宋体" w:cs="宋体"/>
          <w:color w:val="auto"/>
          <w:sz w:val="24"/>
          <w:highlight w:val="none"/>
        </w:rPr>
        <w:t>（注：关键部件是指财政部会同有关部门发布的政府采购需求标准规定的需要通过国家有关部门指定的测评机构开展的安全可靠测评的软硬件，如CPU芯片、操作系统、数据库等。）</w:t>
      </w:r>
    </w:p>
    <w:p w14:paraId="0488A5A2">
      <w:pPr>
        <w:keepNext w:val="0"/>
        <w:keepLines w:val="0"/>
        <w:pageBreakBefore w:val="0"/>
        <w:widowControl/>
        <w:numPr>
          <w:ilvl w:val="255"/>
          <w:numId w:val="0"/>
        </w:numPr>
        <w:spacing w:line="360" w:lineRule="auto"/>
        <w:ind w:left="0" w:firstLine="480"/>
        <w:jc w:val="left"/>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）政府采购组织形式：</w:t>
      </w:r>
      <w:r>
        <w:rPr>
          <w:rFonts w:ascii="Wingdings" w:hAnsi="Wingdings" w:eastAsia="Wingdings" w:cs="Wingdings"/>
          <w:color w:val="auto"/>
          <w:sz w:val="24"/>
          <w:highlight w:val="none"/>
        </w:rPr>
        <w:t></w:t>
      </w:r>
      <w:r>
        <w:rPr>
          <w:rFonts w:hint="eastAsia" w:ascii="宋体" w:hAnsi="宋体" w:cs="宋体"/>
          <w:color w:val="auto"/>
          <w:sz w:val="24"/>
          <w:highlight w:val="none"/>
        </w:rPr>
        <w:t>政府集中采购</w:t>
      </w:r>
      <w:r>
        <w:rPr>
          <w:rFonts w:ascii="Wingdings" w:hAnsi="Wingdings" w:eastAsia="Wingdings" w:cs="Wingdings"/>
          <w:color w:val="auto"/>
          <w:sz w:val="24"/>
          <w:highlight w:val="none"/>
        </w:rPr>
        <w:t></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t>þ</w:t>
      </w:r>
      <w:r>
        <w:rPr>
          <w:rFonts w:hint="eastAsia" w:ascii="宋体" w:hAnsi="宋体" w:cs="宋体"/>
          <w:color w:val="auto"/>
          <w:sz w:val="24"/>
          <w:highlight w:val="none"/>
        </w:rPr>
        <w:t>分散采购</w:t>
      </w:r>
    </w:p>
    <w:p w14:paraId="652FD174">
      <w:pPr>
        <w:keepNext w:val="0"/>
        <w:keepLines w:val="0"/>
        <w:pageBreakBefore w:val="0"/>
        <w:widowControl/>
        <w:numPr>
          <w:ilvl w:val="255"/>
          <w:numId w:val="0"/>
        </w:numPr>
        <w:spacing w:line="360" w:lineRule="auto"/>
        <w:ind w:left="0" w:firstLine="480"/>
        <w:jc w:val="left"/>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）政府采购方式：</w:t>
      </w:r>
      <w:r>
        <w:rPr>
          <w:rFonts w:ascii="Wingdings" w:hAnsi="Wingdings" w:eastAsia="Wingdings" w:cs="Wingdings"/>
          <w:color w:val="auto"/>
          <w:sz w:val="24"/>
          <w:highlight w:val="none"/>
        </w:rPr>
        <w:t>þ</w:t>
      </w:r>
      <w:r>
        <w:rPr>
          <w:rFonts w:hint="eastAsia" w:ascii="宋体" w:hAnsi="宋体" w:cs="宋体"/>
          <w:color w:val="auto"/>
          <w:sz w:val="24"/>
          <w:highlight w:val="none"/>
        </w:rPr>
        <w:t>公开招标</w:t>
      </w:r>
      <w:r>
        <w:rPr>
          <w:rFonts w:ascii="Wingdings" w:hAnsi="Wingdings" w:eastAsia="Wingdings" w:cs="Wingdings"/>
          <w:color w:val="auto"/>
          <w:sz w:val="24"/>
          <w:highlight w:val="none"/>
        </w:rPr>
        <w:t></w:t>
      </w:r>
      <w:r>
        <w:rPr>
          <w:rFonts w:hint="eastAsia" w:ascii="宋体" w:hAnsi="宋体" w:cs="宋体"/>
          <w:color w:val="auto"/>
          <w:sz w:val="24"/>
          <w:highlight w:val="none"/>
        </w:rPr>
        <w:t>邀请招标</w:t>
      </w:r>
      <w:r>
        <w:rPr>
          <w:rFonts w:ascii="Wingdings" w:hAnsi="Wingdings" w:eastAsia="Wingdings" w:cs="Wingdings"/>
          <w:color w:val="auto"/>
          <w:sz w:val="24"/>
          <w:highlight w:val="none"/>
        </w:rPr>
        <w:t></w:t>
      </w:r>
      <w:r>
        <w:rPr>
          <w:rFonts w:hint="eastAsia" w:ascii="宋体" w:hAnsi="宋体" w:cs="宋体"/>
          <w:color w:val="auto"/>
          <w:sz w:val="24"/>
          <w:highlight w:val="none"/>
        </w:rPr>
        <w:t>竞争性谈判</w:t>
      </w:r>
      <w:r>
        <w:rPr>
          <w:rFonts w:ascii="Wingdings" w:hAnsi="Wingdings" w:eastAsia="Wingdings" w:cs="Wingdings"/>
          <w:color w:val="auto"/>
          <w:sz w:val="24"/>
          <w:highlight w:val="none"/>
        </w:rPr>
        <w:t></w:t>
      </w:r>
      <w:r>
        <w:rPr>
          <w:rFonts w:hint="eastAsia" w:ascii="宋体" w:hAnsi="宋体" w:cs="宋体"/>
          <w:color w:val="auto"/>
          <w:sz w:val="24"/>
          <w:highlight w:val="none"/>
        </w:rPr>
        <w:t>竞争性磋商</w:t>
      </w:r>
    </w:p>
    <w:p w14:paraId="20ABE6C4">
      <w:pPr>
        <w:keepNext w:val="0"/>
        <w:keepLines w:val="0"/>
        <w:pageBreakBefore w:val="0"/>
        <w:widowControl/>
        <w:numPr>
          <w:ilvl w:val="255"/>
          <w:numId w:val="0"/>
        </w:numPr>
        <w:spacing w:line="360" w:lineRule="auto"/>
        <w:ind w:left="0" w:firstLine="480"/>
        <w:jc w:val="left"/>
        <w:rPr>
          <w:rFonts w:hint="eastAsia" w:ascii="宋体" w:hAnsi="宋体" w:cs="宋体"/>
          <w:color w:val="auto"/>
          <w:sz w:val="24"/>
          <w:highlight w:val="none"/>
        </w:rPr>
      </w:pPr>
      <w:r>
        <w:rPr>
          <w:rFonts w:ascii="Wingdings" w:hAnsi="Wingdings" w:eastAsia="Wingdings" w:cs="Wingdings"/>
          <w:color w:val="auto"/>
          <w:sz w:val="24"/>
          <w:highlight w:val="none"/>
        </w:rPr>
        <w:t></w:t>
      </w:r>
      <w:r>
        <w:rPr>
          <w:rFonts w:hint="eastAsia" w:ascii="宋体" w:hAnsi="宋体" w:cs="宋体"/>
          <w:color w:val="auto"/>
          <w:sz w:val="24"/>
          <w:highlight w:val="none"/>
        </w:rPr>
        <w:t>询价</w:t>
      </w:r>
      <w:r>
        <w:rPr>
          <w:rFonts w:ascii="Wingdings" w:hAnsi="Wingdings" w:eastAsia="Wingdings" w:cs="Wingdings"/>
          <w:color w:val="auto"/>
          <w:sz w:val="24"/>
          <w:highlight w:val="none"/>
        </w:rPr>
        <w:t></w:t>
      </w:r>
      <w:r>
        <w:rPr>
          <w:rFonts w:hint="eastAsia" w:ascii="宋体" w:hAnsi="宋体" w:cs="宋体"/>
          <w:color w:val="auto"/>
          <w:sz w:val="24"/>
          <w:highlight w:val="none"/>
        </w:rPr>
        <w:t>单一来源</w:t>
      </w:r>
      <w:r>
        <w:rPr>
          <w:rFonts w:ascii="Wingdings" w:hAnsi="Wingdings" w:eastAsia="Wingdings" w:cs="Wingdings"/>
          <w:color w:val="auto"/>
          <w:sz w:val="24"/>
          <w:highlight w:val="none"/>
        </w:rPr>
        <w:t></w:t>
      </w:r>
      <w:r>
        <w:rPr>
          <w:rFonts w:hint="eastAsia" w:ascii="宋体" w:hAnsi="宋体" w:cs="宋体"/>
          <w:color w:val="auto"/>
          <w:sz w:val="24"/>
          <w:highlight w:val="none"/>
        </w:rPr>
        <w:t>框架协议</w:t>
      </w:r>
      <w:r>
        <w:rPr>
          <w:rFonts w:ascii="Wingdings" w:hAnsi="Wingdings" w:eastAsia="Wingdings" w:cs="Wingdings"/>
          <w:color w:val="auto"/>
          <w:sz w:val="24"/>
          <w:highlight w:val="none"/>
        </w:rPr>
        <w:t></w:t>
      </w:r>
      <w:r>
        <w:rPr>
          <w:rFonts w:hint="eastAsia" w:ascii="宋体" w:hAnsi="宋体" w:cs="宋体"/>
          <w:color w:val="auto"/>
          <w:sz w:val="24"/>
          <w:highlight w:val="none"/>
        </w:rPr>
        <w:t>其他：</w:t>
      </w:r>
    </w:p>
    <w:p w14:paraId="4009A104">
      <w:pPr>
        <w:keepNext w:val="0"/>
        <w:keepLines w:val="0"/>
        <w:pageBreakBefore w:val="0"/>
        <w:widowControl/>
        <w:numPr>
          <w:ilvl w:val="255"/>
          <w:numId w:val="0"/>
        </w:numPr>
        <w:spacing w:line="360" w:lineRule="auto"/>
        <w:ind w:left="0" w:firstLine="480"/>
        <w:jc w:val="left"/>
        <w:rPr>
          <w:rFonts w:hint="eastAsia" w:ascii="宋体" w:hAnsi="宋体"/>
          <w:color w:val="auto"/>
          <w:sz w:val="24"/>
          <w:highlight w:val="none"/>
        </w:rPr>
      </w:pPr>
      <w:r>
        <w:rPr>
          <w:rFonts w:hint="eastAsia" w:ascii="宋体" w:hAnsi="宋体" w:eastAsia="华文楷体" w:cs="华文楷体"/>
          <w:color w:val="auto"/>
          <w:sz w:val="24"/>
          <w:highlight w:val="none"/>
        </w:rPr>
        <w:t>（</w:t>
      </w:r>
      <w:r>
        <w:rPr>
          <w:rFonts w:ascii="宋体" w:hAnsi="宋体" w:eastAsia="华文楷体" w:cs="华文楷体"/>
          <w:color w:val="auto"/>
          <w:sz w:val="24"/>
          <w:highlight w:val="none"/>
        </w:rPr>
        <w:t>6</w:t>
      </w:r>
      <w:r>
        <w:rPr>
          <w:rFonts w:hint="eastAsia" w:ascii="宋体" w:hAnsi="宋体" w:eastAsia="华文楷体" w:cs="华文楷体"/>
          <w:color w:val="auto"/>
          <w:sz w:val="24"/>
          <w:highlight w:val="none"/>
        </w:rPr>
        <w:t>）</w:t>
      </w:r>
      <w:r>
        <w:rPr>
          <w:rFonts w:hint="eastAsia" w:ascii="宋体" w:hAnsi="宋体"/>
          <w:color w:val="auto"/>
          <w:sz w:val="24"/>
          <w:highlight w:val="none"/>
        </w:rPr>
        <w:t>中标（成交）采购标的制造商是否为中小企业：</w:t>
      </w:r>
      <w:r>
        <w:rPr>
          <w:rFonts w:ascii="Wingdings" w:hAnsi="Wingdings" w:eastAsia="Wingdings" w:cs="Wingdings"/>
          <w:color w:val="auto"/>
          <w:sz w:val="24"/>
          <w:highlight w:val="none"/>
        </w:rPr>
        <w:t>þ</w:t>
      </w:r>
      <w:r>
        <w:rPr>
          <w:rFonts w:hint="eastAsia" w:ascii="宋体" w:hAnsi="宋体"/>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olor w:val="auto"/>
          <w:sz w:val="24"/>
          <w:highlight w:val="none"/>
        </w:rPr>
        <w:t>否</w:t>
      </w:r>
    </w:p>
    <w:p w14:paraId="6DDBCE1E">
      <w:pPr>
        <w:keepNext w:val="0"/>
        <w:keepLines w:val="0"/>
        <w:pageBreakBefore w:val="0"/>
        <w:widowControl/>
        <w:numPr>
          <w:ilvl w:val="255"/>
          <w:numId w:val="0"/>
        </w:numPr>
        <w:spacing w:line="360" w:lineRule="auto"/>
        <w:ind w:left="0" w:firstLine="480"/>
        <w:jc w:val="left"/>
        <w:rPr>
          <w:rFonts w:ascii="宋体" w:hAnsi="宋体"/>
          <w:iCs/>
          <w:color w:val="auto"/>
          <w:sz w:val="24"/>
          <w:highlight w:val="none"/>
        </w:rPr>
      </w:pPr>
      <w:r>
        <w:rPr>
          <w:rFonts w:hint="eastAsia" w:ascii="宋体" w:hAnsi="宋体"/>
          <w:color w:val="auto"/>
          <w:sz w:val="24"/>
          <w:highlight w:val="none"/>
        </w:rPr>
        <w:t>本合同是否为专门面向中小企业的采购合同（中小企业预留合同）：</w:t>
      </w:r>
      <w:r>
        <w:rPr>
          <w:rFonts w:ascii="Wingdings" w:hAnsi="Wingdings" w:eastAsia="Wingdings" w:cs="Wingdings"/>
          <w:iCs/>
          <w:color w:val="auto"/>
          <w:sz w:val="24"/>
          <w:highlight w:val="none"/>
        </w:rPr>
        <w:t>þ</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w:t>
      </w:r>
      <w:r>
        <w:rPr>
          <w:rFonts w:hint="eastAsia" w:ascii="宋体" w:hAnsi="宋体"/>
          <w:iCs/>
          <w:color w:val="auto"/>
          <w:sz w:val="24"/>
          <w:highlight w:val="none"/>
        </w:rPr>
        <w:t>否</w:t>
      </w:r>
    </w:p>
    <w:p w14:paraId="1114BFAE">
      <w:pPr>
        <w:keepNext w:val="0"/>
        <w:keepLines w:val="0"/>
        <w:pageBreakBefore w:val="0"/>
        <w:numPr>
          <w:ilvl w:val="255"/>
          <w:numId w:val="0"/>
        </w:numPr>
        <w:spacing w:line="360" w:lineRule="auto"/>
        <w:ind w:left="0" w:firstLine="480"/>
        <w:rPr>
          <w:rFonts w:ascii="宋体" w:hAnsi="宋体"/>
          <w:iCs/>
          <w:color w:val="auto"/>
          <w:sz w:val="24"/>
          <w:highlight w:val="none"/>
        </w:rPr>
      </w:pPr>
      <w:r>
        <w:rPr>
          <w:rFonts w:hint="eastAsia"/>
          <w:color w:val="auto"/>
          <w:sz w:val="24"/>
          <w:highlight w:val="none"/>
        </w:rPr>
        <w:t>若本项目不专门面向中小企业采购，是否给予小微企业评审优惠：</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þ</w:t>
      </w:r>
      <w:r>
        <w:rPr>
          <w:rFonts w:hint="eastAsia" w:ascii="宋体" w:hAnsi="宋体"/>
          <w:iCs/>
          <w:color w:val="auto"/>
          <w:sz w:val="24"/>
          <w:highlight w:val="none"/>
        </w:rPr>
        <w:t>否</w:t>
      </w:r>
    </w:p>
    <w:p w14:paraId="0A0C7E31">
      <w:pPr>
        <w:keepNext w:val="0"/>
        <w:keepLines w:val="0"/>
        <w:pageBreakBefore w:val="0"/>
        <w:numPr>
          <w:ilvl w:val="255"/>
          <w:numId w:val="0"/>
        </w:numPr>
        <w:spacing w:line="360" w:lineRule="auto"/>
        <w:ind w:left="0" w:firstLine="480"/>
        <w:rPr>
          <w:rFonts w:ascii="宋体" w:hAnsi="宋体"/>
          <w:iCs/>
          <w:color w:val="auto"/>
          <w:sz w:val="24"/>
          <w:highlight w:val="none"/>
        </w:rPr>
      </w:pPr>
      <w:r>
        <w:rPr>
          <w:rFonts w:hint="eastAsia"/>
          <w:color w:val="auto"/>
          <w:sz w:val="24"/>
          <w:highlight w:val="none"/>
        </w:rPr>
        <w:t>中标（成交）采购标的制造商是否为残疾人福利性单位：</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þ</w:t>
      </w:r>
      <w:r>
        <w:rPr>
          <w:rFonts w:hint="eastAsia" w:ascii="宋体" w:hAnsi="宋体"/>
          <w:iCs/>
          <w:color w:val="auto"/>
          <w:sz w:val="24"/>
          <w:highlight w:val="none"/>
        </w:rPr>
        <w:t>否</w:t>
      </w:r>
    </w:p>
    <w:p w14:paraId="4FDF6030">
      <w:pPr>
        <w:keepNext w:val="0"/>
        <w:keepLines w:val="0"/>
        <w:pageBreakBefore w:val="0"/>
        <w:spacing w:line="360" w:lineRule="auto"/>
        <w:ind w:left="0" w:firstLine="480"/>
        <w:rPr>
          <w:color w:val="auto"/>
          <w:sz w:val="24"/>
          <w:highlight w:val="none"/>
        </w:rPr>
      </w:pPr>
      <w:r>
        <w:rPr>
          <w:rFonts w:hint="eastAsia"/>
          <w:color w:val="auto"/>
          <w:sz w:val="24"/>
          <w:highlight w:val="none"/>
        </w:rPr>
        <w:t>中标（成交）采购标的制造商是否为监狱企业：</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þ</w:t>
      </w:r>
      <w:r>
        <w:rPr>
          <w:rFonts w:hint="eastAsia" w:ascii="宋体" w:hAnsi="宋体"/>
          <w:iCs/>
          <w:color w:val="auto"/>
          <w:sz w:val="24"/>
          <w:highlight w:val="none"/>
        </w:rPr>
        <w:t>否</w:t>
      </w:r>
    </w:p>
    <w:p w14:paraId="199E0DEB">
      <w:pPr>
        <w:keepNext w:val="0"/>
        <w:keepLines w:val="0"/>
        <w:pageBreakBefore w:val="0"/>
        <w:spacing w:line="360" w:lineRule="auto"/>
        <w:ind w:left="0" w:firstLine="48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）合同是否分包：</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þ</w:t>
      </w:r>
      <w:r>
        <w:rPr>
          <w:rFonts w:hint="eastAsia" w:ascii="宋体" w:hAnsi="宋体"/>
          <w:iCs/>
          <w:color w:val="auto"/>
          <w:sz w:val="24"/>
          <w:highlight w:val="none"/>
        </w:rPr>
        <w:t>否</w:t>
      </w:r>
    </w:p>
    <w:p w14:paraId="6033A857">
      <w:pPr>
        <w:keepNext w:val="0"/>
        <w:keepLines w:val="0"/>
        <w:pageBreakBefore w:val="0"/>
        <w:numPr>
          <w:ilvl w:val="255"/>
          <w:numId w:val="0"/>
        </w:numPr>
        <w:spacing w:line="360" w:lineRule="auto"/>
        <w:ind w:left="0" w:firstLine="480"/>
        <w:rPr>
          <w:rFonts w:ascii="宋体" w:hAnsi="宋体" w:cs="宋体"/>
          <w:iCs/>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8</w:t>
      </w:r>
      <w:r>
        <w:rPr>
          <w:rFonts w:hint="eastAsia" w:ascii="宋体" w:hAnsi="宋体" w:cs="宋体"/>
          <w:color w:val="auto"/>
          <w:sz w:val="24"/>
          <w:highlight w:val="none"/>
        </w:rPr>
        <w:t>）中标（成交）供应商是否为外商投资企业：</w:t>
      </w:r>
      <w:r>
        <w:rPr>
          <w:rFonts w:ascii="Wingdings" w:hAnsi="Wingdings" w:eastAsia="Wingdings" w:cs="Wingdings"/>
          <w:iCs/>
          <w:color w:val="auto"/>
          <w:sz w:val="24"/>
          <w:highlight w:val="none"/>
        </w:rPr>
        <w:t></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t>þ</w:t>
      </w:r>
      <w:r>
        <w:rPr>
          <w:rFonts w:hint="eastAsia" w:ascii="宋体" w:hAnsi="宋体" w:cs="宋体"/>
          <w:iCs/>
          <w:color w:val="auto"/>
          <w:sz w:val="24"/>
          <w:highlight w:val="none"/>
        </w:rPr>
        <w:t>否</w:t>
      </w:r>
    </w:p>
    <w:p w14:paraId="25B761BF">
      <w:pPr>
        <w:keepNext w:val="0"/>
        <w:keepLines w:val="0"/>
        <w:pageBreakBefore w:val="0"/>
        <w:widowControl/>
        <w:tabs>
          <w:tab w:val="left" w:pos="1340"/>
        </w:tabs>
        <w:spacing w:line="360" w:lineRule="auto"/>
        <w:ind w:left="0" w:firstLine="480"/>
        <w:jc w:val="left"/>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w:t>
      </w:r>
      <w:r>
        <w:rPr>
          <w:rFonts w:hint="eastAsia" w:ascii="宋体" w:hAnsi="宋体" w:cs="宋体"/>
          <w:iCs/>
          <w:color w:val="auto"/>
          <w:sz w:val="24"/>
          <w:highlight w:val="none"/>
        </w:rPr>
        <w:t>部分由外国投资者投资</w:t>
      </w:r>
    </w:p>
    <w:p w14:paraId="0C92794A">
      <w:pPr>
        <w:keepNext w:val="0"/>
        <w:keepLines w:val="0"/>
        <w:pageBreakBefore w:val="0"/>
        <w:numPr>
          <w:ilvl w:val="255"/>
          <w:numId w:val="0"/>
        </w:numPr>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9</w:t>
      </w:r>
      <w:r>
        <w:rPr>
          <w:rFonts w:hint="eastAsia" w:ascii="宋体" w:hAnsi="宋体" w:cs="宋体"/>
          <w:color w:val="auto"/>
          <w:sz w:val="24"/>
          <w:highlight w:val="none"/>
        </w:rPr>
        <w:t>）是否涉及进口产品：</w:t>
      </w:r>
    </w:p>
    <w:p w14:paraId="655A9526">
      <w:pPr>
        <w:keepNext w:val="0"/>
        <w:keepLines w:val="0"/>
        <w:pageBreakBefore w:val="0"/>
        <w:numPr>
          <w:ilvl w:val="255"/>
          <w:numId w:val="0"/>
        </w:numPr>
        <w:spacing w:line="360" w:lineRule="auto"/>
        <w:ind w:left="0" w:firstLine="480"/>
        <w:rPr>
          <w:rFonts w:ascii="宋体" w:hAnsi="宋体" w:cs="宋体"/>
          <w:color w:val="auto"/>
          <w:sz w:val="24"/>
          <w:highlight w:val="none"/>
          <w:u w:val="single"/>
        </w:rPr>
      </w:pPr>
      <w:r>
        <w:rPr>
          <w:rFonts w:ascii="Wingdings" w:hAnsi="Wingdings" w:eastAsia="Wingdings" w:cs="Wingdings"/>
          <w:color w:val="auto"/>
          <w:sz w:val="24"/>
          <w:highlight w:val="none"/>
        </w:rPr>
        <w:t></w:t>
      </w:r>
      <w:r>
        <w:rPr>
          <w:rFonts w:hint="eastAsia" w:ascii="宋体" w:hAnsi="宋体" w:cs="宋体"/>
          <w:color w:val="auto"/>
          <w:sz w:val="24"/>
          <w:highlight w:val="none"/>
        </w:rPr>
        <w:t>是，《政府采购品目分类目录》底级品目名称：金额：</w:t>
      </w:r>
    </w:p>
    <w:p w14:paraId="33A4D3E4">
      <w:pPr>
        <w:keepNext w:val="0"/>
        <w:keepLines w:val="0"/>
        <w:pageBreakBefore w:val="0"/>
        <w:numPr>
          <w:ilvl w:val="255"/>
          <w:numId w:val="0"/>
        </w:numPr>
        <w:spacing w:line="360" w:lineRule="auto"/>
        <w:ind w:left="0" w:firstLine="480"/>
        <w:rPr>
          <w:rFonts w:ascii="宋体" w:hAnsi="宋体"/>
          <w:color w:val="auto"/>
          <w:sz w:val="24"/>
          <w:highlight w:val="none"/>
        </w:rPr>
      </w:pPr>
      <w:r>
        <w:rPr>
          <w:rFonts w:hint="eastAsia" w:ascii="宋体" w:hAnsi="宋体" w:cs="宋体"/>
          <w:color w:val="auto"/>
          <w:sz w:val="24"/>
          <w:highlight w:val="none"/>
        </w:rPr>
        <w:t xml:space="preserve">        国别：品牌： 规格型号：</w:t>
      </w:r>
    </w:p>
    <w:p w14:paraId="014FB741">
      <w:pPr>
        <w:keepNext w:val="0"/>
        <w:keepLines w:val="0"/>
        <w:pageBreakBefore w:val="0"/>
        <w:spacing w:line="360" w:lineRule="auto"/>
        <w:ind w:left="0" w:firstLine="480"/>
        <w:rPr>
          <w:rFonts w:ascii="宋体" w:hAnsi="宋体"/>
          <w:color w:val="auto"/>
          <w:sz w:val="24"/>
          <w:highlight w:val="none"/>
        </w:rPr>
      </w:pPr>
      <w:r>
        <w:rPr>
          <w:rFonts w:ascii="Wingdings" w:hAnsi="Wingdings" w:eastAsia="Wingdings" w:cs="Wingdings"/>
          <w:color w:val="auto"/>
          <w:sz w:val="24"/>
          <w:highlight w:val="none"/>
        </w:rPr>
        <w:t>þ</w:t>
      </w:r>
      <w:r>
        <w:rPr>
          <w:rFonts w:hint="eastAsia" w:ascii="宋体" w:hAnsi="宋体"/>
          <w:color w:val="auto"/>
          <w:sz w:val="24"/>
          <w:highlight w:val="none"/>
        </w:rPr>
        <w:t>否</w:t>
      </w:r>
    </w:p>
    <w:p w14:paraId="5EFC7174">
      <w:pPr>
        <w:keepNext w:val="0"/>
        <w:keepLines w:val="0"/>
        <w:pageBreakBefore w:val="0"/>
        <w:numPr>
          <w:ilvl w:val="255"/>
          <w:numId w:val="0"/>
        </w:numPr>
        <w:tabs>
          <w:tab w:val="left" w:pos="740"/>
        </w:tabs>
        <w:spacing w:line="360" w:lineRule="auto"/>
        <w:ind w:left="0"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0</w:t>
      </w:r>
      <w:r>
        <w:rPr>
          <w:rFonts w:hint="eastAsia" w:ascii="宋体" w:hAnsi="宋体"/>
          <w:color w:val="auto"/>
          <w:sz w:val="24"/>
          <w:highlight w:val="none"/>
        </w:rPr>
        <w:t>）是否涉及节能产品：</w:t>
      </w:r>
    </w:p>
    <w:p w14:paraId="5028B02E">
      <w:pPr>
        <w:keepNext w:val="0"/>
        <w:keepLines w:val="0"/>
        <w:pageBreakBefore w:val="0"/>
        <w:numPr>
          <w:ilvl w:val="255"/>
          <w:numId w:val="0"/>
        </w:numPr>
        <w:tabs>
          <w:tab w:val="left" w:pos="740"/>
        </w:tabs>
        <w:spacing w:line="360" w:lineRule="auto"/>
        <w:ind w:left="0" w:firstLine="480"/>
        <w:rPr>
          <w:rFonts w:ascii="宋体" w:hAnsi="宋体"/>
          <w:iCs/>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是，《节能产品政府采购品目清单》的底级品目名称：</w:t>
      </w:r>
    </w:p>
    <w:p w14:paraId="23345AAD">
      <w:pPr>
        <w:keepNext w:val="0"/>
        <w:keepLines w:val="0"/>
        <w:pageBreakBefore w:val="0"/>
        <w:numPr>
          <w:ilvl w:val="255"/>
          <w:numId w:val="0"/>
        </w:numPr>
        <w:tabs>
          <w:tab w:val="left" w:pos="740"/>
        </w:tabs>
        <w:spacing w:line="360" w:lineRule="auto"/>
        <w:ind w:left="0" w:firstLine="48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39F58422">
      <w:pPr>
        <w:keepNext w:val="0"/>
        <w:keepLines w:val="0"/>
        <w:pageBreakBefore w:val="0"/>
        <w:numPr>
          <w:ilvl w:val="255"/>
          <w:numId w:val="0"/>
        </w:numPr>
        <w:tabs>
          <w:tab w:val="left" w:pos="740"/>
        </w:tabs>
        <w:spacing w:line="360" w:lineRule="auto"/>
        <w:ind w:left="0" w:firstLine="48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6CC06A00">
      <w:pPr>
        <w:keepNext w:val="0"/>
        <w:keepLines w:val="0"/>
        <w:pageBreakBefore w:val="0"/>
        <w:numPr>
          <w:ilvl w:val="255"/>
          <w:numId w:val="0"/>
        </w:numPr>
        <w:tabs>
          <w:tab w:val="left" w:pos="740"/>
        </w:tabs>
        <w:spacing w:line="360" w:lineRule="auto"/>
        <w:ind w:left="0" w:firstLine="480"/>
        <w:rPr>
          <w:rFonts w:ascii="宋体" w:hAnsi="宋体"/>
          <w:color w:val="auto"/>
          <w:sz w:val="24"/>
          <w:highlight w:val="none"/>
        </w:rPr>
      </w:pPr>
      <w:r>
        <w:rPr>
          <w:rFonts w:hint="eastAsia" w:ascii="宋体" w:hAnsi="宋体"/>
          <w:color w:val="auto"/>
          <w:sz w:val="24"/>
          <w:highlight w:val="none"/>
        </w:rPr>
        <w:t>是否涉及环境标志产品：</w:t>
      </w:r>
    </w:p>
    <w:p w14:paraId="1CB5A822">
      <w:pPr>
        <w:keepNext w:val="0"/>
        <w:keepLines w:val="0"/>
        <w:pageBreakBefore w:val="0"/>
        <w:numPr>
          <w:ilvl w:val="255"/>
          <w:numId w:val="0"/>
        </w:numPr>
        <w:tabs>
          <w:tab w:val="left" w:pos="740"/>
        </w:tabs>
        <w:spacing w:line="360" w:lineRule="auto"/>
        <w:ind w:left="0" w:firstLine="48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是，《环境标志产品政府采购品目清单》的底级品目名称：</w:t>
      </w:r>
    </w:p>
    <w:p w14:paraId="0D449D16">
      <w:pPr>
        <w:keepNext w:val="0"/>
        <w:keepLines w:val="0"/>
        <w:pageBreakBefore w:val="0"/>
        <w:numPr>
          <w:ilvl w:val="255"/>
          <w:numId w:val="0"/>
        </w:numPr>
        <w:tabs>
          <w:tab w:val="left" w:pos="740"/>
        </w:tabs>
        <w:spacing w:line="360" w:lineRule="auto"/>
        <w:ind w:left="0" w:firstLine="48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56259C67">
      <w:pPr>
        <w:keepNext w:val="0"/>
        <w:keepLines w:val="0"/>
        <w:pageBreakBefore w:val="0"/>
        <w:numPr>
          <w:ilvl w:val="255"/>
          <w:numId w:val="0"/>
        </w:numPr>
        <w:tabs>
          <w:tab w:val="left" w:pos="740"/>
        </w:tabs>
        <w:spacing w:line="360" w:lineRule="auto"/>
        <w:ind w:left="0" w:firstLine="48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075A1F09">
      <w:pPr>
        <w:keepNext w:val="0"/>
        <w:keepLines w:val="0"/>
        <w:pageBreakBefore w:val="0"/>
        <w:widowControl/>
        <w:numPr>
          <w:ilvl w:val="255"/>
          <w:numId w:val="0"/>
        </w:numPr>
        <w:spacing w:line="360" w:lineRule="auto"/>
        <w:ind w:left="0" w:firstLine="480"/>
        <w:jc w:val="left"/>
        <w:rPr>
          <w:rFonts w:ascii="宋体" w:hAnsi="宋体"/>
          <w:color w:val="auto"/>
          <w:sz w:val="24"/>
          <w:highlight w:val="none"/>
        </w:rPr>
      </w:pPr>
      <w:r>
        <w:rPr>
          <w:rFonts w:hint="eastAsia" w:ascii="宋体" w:hAnsi="宋体"/>
          <w:color w:val="auto"/>
          <w:sz w:val="24"/>
          <w:highlight w:val="none"/>
        </w:rPr>
        <w:t>是否涉及绿色产品：</w:t>
      </w:r>
    </w:p>
    <w:p w14:paraId="498980E4">
      <w:pPr>
        <w:keepNext w:val="0"/>
        <w:keepLines w:val="0"/>
        <w:pageBreakBefore w:val="0"/>
        <w:widowControl/>
        <w:spacing w:line="360" w:lineRule="auto"/>
        <w:ind w:left="0" w:firstLine="480"/>
        <w:jc w:val="left"/>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是，绿色产品政府采购相关政策确定的底级品目名称：</w:t>
      </w:r>
    </w:p>
    <w:p w14:paraId="1C134C6A">
      <w:pPr>
        <w:keepNext w:val="0"/>
        <w:keepLines w:val="0"/>
        <w:pageBreakBefore w:val="0"/>
        <w:numPr>
          <w:ilvl w:val="255"/>
          <w:numId w:val="0"/>
        </w:numPr>
        <w:tabs>
          <w:tab w:val="left" w:pos="740"/>
        </w:tabs>
        <w:spacing w:line="360" w:lineRule="auto"/>
        <w:ind w:left="0" w:firstLine="480"/>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38F97A7E">
      <w:pPr>
        <w:keepNext w:val="0"/>
        <w:keepLines w:val="0"/>
        <w:pageBreakBefore w:val="0"/>
        <w:widowControl/>
        <w:spacing w:line="360" w:lineRule="auto"/>
        <w:ind w:left="0" w:firstLine="480"/>
        <w:jc w:val="left"/>
        <w:rPr>
          <w:rFonts w:ascii="宋体" w:hAnsi="宋体" w:eastAsia="华文楷体" w:cs="华文楷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697C8086">
      <w:pPr>
        <w:keepNext w:val="0"/>
        <w:keepLines w:val="0"/>
        <w:pageBreakBefore w:val="0"/>
        <w:numPr>
          <w:ilvl w:val="255"/>
          <w:numId w:val="0"/>
        </w:numPr>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（11）涉及商品包装和快递包装的，是否参考《商品包装政府采购需求标准（试行）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快递包装政府采购需求标准（试行）》明确产品及相关快递服务的具体包装要求：</w:t>
      </w:r>
    </w:p>
    <w:p w14:paraId="561231F1">
      <w:pPr>
        <w:keepNext w:val="0"/>
        <w:keepLines w:val="0"/>
        <w:pageBreakBefore w:val="0"/>
        <w:numPr>
          <w:ilvl w:val="255"/>
          <w:numId w:val="0"/>
        </w:numPr>
        <w:spacing w:line="360" w:lineRule="auto"/>
        <w:ind w:left="0" w:firstLine="480"/>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w:t>
      </w:r>
      <w:r>
        <w:rPr>
          <w:rFonts w:hint="eastAsia" w:ascii="宋体" w:hAnsi="宋体" w:eastAsia="宋体" w:cs="宋体"/>
          <w:color w:val="auto"/>
          <w:sz w:val="24"/>
          <w:szCs w:val="24"/>
          <w:highlight w:val="none"/>
        </w:rPr>
        <w:t>否</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þ</w:t>
      </w:r>
      <w:r>
        <w:rPr>
          <w:rFonts w:hint="eastAsia" w:ascii="宋体" w:hAnsi="宋体" w:eastAsia="宋体" w:cs="宋体"/>
          <w:color w:val="auto"/>
          <w:sz w:val="24"/>
          <w:szCs w:val="24"/>
          <w:highlight w:val="none"/>
        </w:rPr>
        <w:t>不涉及</w:t>
      </w:r>
    </w:p>
    <w:p w14:paraId="322A4DB5">
      <w:pPr>
        <w:keepNext w:val="0"/>
        <w:keepLines w:val="0"/>
        <w:pageBreakBefore w:val="0"/>
        <w:numPr>
          <w:ilvl w:val="0"/>
          <w:numId w:val="1"/>
        </w:numPr>
        <w:spacing w:line="360" w:lineRule="auto"/>
        <w:ind w:lef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合同金额</w:t>
      </w:r>
    </w:p>
    <w:p w14:paraId="721410A8">
      <w:pPr>
        <w:keepNext w:val="0"/>
        <w:keepLines w:val="0"/>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（1）合同金额小写：</w:t>
      </w:r>
    </w:p>
    <w:p w14:paraId="17BBD861">
      <w:pPr>
        <w:keepNext w:val="0"/>
        <w:keepLines w:val="0"/>
        <w:pageBreakBefore w:val="0"/>
        <w:spacing w:line="360" w:lineRule="auto"/>
        <w:ind w:left="0"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大写：</w:t>
      </w:r>
    </w:p>
    <w:p w14:paraId="719E2034">
      <w:pPr>
        <w:keepNext w:val="0"/>
        <w:keepLines w:val="0"/>
        <w:pageBreakBefore w:val="0"/>
        <w:spacing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（2）付款方式（按项目实际勾选填写，具体详见专用条款第二节第12.2款）：</w:t>
      </w:r>
    </w:p>
    <w:p w14:paraId="0ADD7F8C">
      <w:pPr>
        <w:keepNext w:val="0"/>
        <w:keepLines w:val="0"/>
        <w:pageBreakBefore w:val="0"/>
        <w:spacing w:line="360" w:lineRule="auto"/>
        <w:ind w:left="0"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分期付款：</w:t>
      </w:r>
      <w:r>
        <w:rPr>
          <w:rFonts w:hint="eastAsia" w:ascii="宋体" w:hAnsi="宋体" w:eastAsia="宋体" w:cs="宋体"/>
          <w:color w:val="auto"/>
          <w:sz w:val="24"/>
          <w:szCs w:val="24"/>
          <w:highlight w:val="none"/>
          <w:u w:val="single"/>
          <w:lang w:val="en-US" w:eastAsia="zh-CN"/>
        </w:rPr>
        <w:t>1.所有货物安装完毕，甲方组织初步验收，初步验收合格后收到乙方发票10个工作日内甲方向乙方支付至合同总价的90%款项</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2.初步验收合格且项目运行满12个月后，甲方组织最终验收，最终验收合格后收到乙方发票10个工作日内甲方付清货款</w:t>
      </w:r>
      <w:r>
        <w:rPr>
          <w:rFonts w:hint="eastAsia" w:ascii="宋体" w:hAnsi="宋体" w:eastAsia="宋体" w:cs="宋体"/>
          <w:color w:val="auto"/>
          <w:sz w:val="24"/>
          <w:szCs w:val="24"/>
          <w:highlight w:val="none"/>
        </w:rPr>
        <w:t>，其中涉及预付款的：</w:t>
      </w:r>
      <w:r>
        <w:rPr>
          <w:rFonts w:hint="eastAsia" w:ascii="宋体" w:hAnsi="宋体" w:eastAsia="宋体" w:cs="宋体"/>
          <w:color w:val="auto"/>
          <w:sz w:val="24"/>
          <w:szCs w:val="24"/>
          <w:highlight w:val="none"/>
          <w:u w:val="single"/>
        </w:rPr>
        <w:t xml:space="preserve"> 合同签订后30日内，支付合同金额30%的预付款</w:t>
      </w:r>
      <w:r>
        <w:rPr>
          <w:rFonts w:hint="eastAsia" w:ascii="宋体" w:hAnsi="宋体" w:eastAsia="宋体" w:cs="宋体"/>
          <w:color w:val="auto"/>
          <w:sz w:val="24"/>
          <w:szCs w:val="24"/>
          <w:highlight w:val="none"/>
          <w:u w:val="single"/>
          <w:lang w:eastAsia="zh-CN"/>
        </w:rPr>
        <w:t>（在签订合同时，乙方明确表示无需预付款或者主动要求降低预付款比例的，甲方可不适用上述关于预付款的规定。）</w:t>
      </w:r>
      <w:r>
        <w:rPr>
          <w:rFonts w:hint="eastAsia" w:ascii="宋体" w:hAnsi="宋体" w:eastAsia="宋体" w:cs="宋体"/>
          <w:color w:val="auto"/>
          <w:sz w:val="24"/>
          <w:szCs w:val="24"/>
          <w:highlight w:val="none"/>
          <w:u w:val="single"/>
        </w:rPr>
        <w:t xml:space="preserve"> </w:t>
      </w:r>
    </w:p>
    <w:p w14:paraId="44B26970">
      <w:pPr>
        <w:keepNext w:val="0"/>
        <w:keepLines w:val="0"/>
        <w:pageBreakBefore w:val="0"/>
        <w:spacing w:line="360" w:lineRule="auto"/>
        <w:ind w:left="0" w:firstLine="48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注：⑴结算时，乙方必须提供乙方单位名称的正式发票。本合同执行中相关的一切税费均由乙方负担。⑵支付方式：银行转账。⑶以上付款均无息。结算时，乙方须提供税务发票。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依据《保障中小企业款项支付条例》（2020年7月5日中华人民共和国国务院令第728号公布　2025年3月17日中华人民共和国国务院令第802号修订 自2025年6月1日起施行）第九条　机关、事业单位从中小企业采购货物、工程、服务，应当自货物、工程、服务交付之日起30日内支付款项；合同另有约定的，从其约定，但付款期限最长不得超过60日。</w:t>
      </w:r>
    </w:p>
    <w:p w14:paraId="22D88737">
      <w:pPr>
        <w:keepNext w:val="0"/>
        <w:keepLines w:val="0"/>
        <w:pageBreakBefore w:val="0"/>
        <w:numPr>
          <w:ilvl w:val="0"/>
          <w:numId w:val="1"/>
        </w:numPr>
        <w:spacing w:line="360" w:lineRule="auto"/>
        <w:ind w:left="0" w:firstLine="482"/>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合同履行</w:t>
      </w:r>
    </w:p>
    <w:p w14:paraId="380DDF50">
      <w:pPr>
        <w:keepNext w:val="0"/>
        <w:keepLines w:val="0"/>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（1）合同履行期限：</w:t>
      </w:r>
      <w:r>
        <w:rPr>
          <w:rFonts w:hint="eastAsia" w:ascii="宋体" w:hAnsi="宋体" w:eastAsia="宋体" w:cs="宋体"/>
          <w:b/>
          <w:color w:val="auto"/>
          <w:sz w:val="24"/>
          <w:szCs w:val="24"/>
          <w:highlight w:val="none"/>
          <w:u w:val="single"/>
        </w:rPr>
        <w:t>合同签订后</w:t>
      </w:r>
      <w:r>
        <w:rPr>
          <w:rFonts w:hint="eastAsia" w:ascii="宋体" w:hAnsi="宋体" w:eastAsia="宋体" w:cs="宋体"/>
          <w:b/>
          <w:color w:val="auto"/>
          <w:sz w:val="24"/>
          <w:szCs w:val="24"/>
          <w:highlight w:val="none"/>
          <w:u w:val="single"/>
          <w:lang w:val="en-US" w:eastAsia="zh-CN"/>
        </w:rPr>
        <w:t>3</w:t>
      </w:r>
      <w:r>
        <w:rPr>
          <w:rFonts w:hint="eastAsia" w:ascii="宋体" w:hAnsi="宋体" w:eastAsia="宋体" w:cs="宋体"/>
          <w:b/>
          <w:color w:val="auto"/>
          <w:sz w:val="24"/>
          <w:szCs w:val="24"/>
          <w:highlight w:val="none"/>
          <w:u w:val="single"/>
        </w:rPr>
        <w:t>0日历天内货物全部送达招标人指定位置且安装、调试完毕，并确保正常稳定运行</w:t>
      </w:r>
      <w:r>
        <w:rPr>
          <w:rFonts w:hint="eastAsia" w:ascii="宋体" w:hAnsi="宋体" w:eastAsia="宋体" w:cs="宋体"/>
          <w:color w:val="auto"/>
          <w:sz w:val="24"/>
          <w:szCs w:val="24"/>
          <w:highlight w:val="none"/>
        </w:rPr>
        <w:t>。</w:t>
      </w:r>
    </w:p>
    <w:p w14:paraId="5AB6E459">
      <w:pPr>
        <w:keepNext w:val="0"/>
        <w:keepLines w:val="0"/>
        <w:pageBreakBefore w:val="0"/>
        <w:spacing w:line="360" w:lineRule="auto"/>
        <w:ind w:left="0"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（2）履约地点</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东台市（采购人指定地点）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3AE895BE">
      <w:pPr>
        <w:keepNext w:val="0"/>
        <w:keepLines w:val="0"/>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履约担保：履约担保：是否收取履约保证金：</w:t>
      </w:r>
      <w:r>
        <w:rPr>
          <w:rFonts w:ascii="Wingdings" w:hAnsi="Wingdings" w:eastAsia="Wingdings" w:cs="Wingdings"/>
          <w:color w:val="auto"/>
          <w:sz w:val="24"/>
          <w:szCs w:val="24"/>
          <w:highlight w:val="none"/>
        </w:rPr>
        <w:t>þ</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w:t>
      </w:r>
      <w:r>
        <w:rPr>
          <w:rFonts w:hint="eastAsia" w:ascii="宋体" w:hAnsi="宋体" w:eastAsia="宋体" w:cs="宋体"/>
          <w:color w:val="auto"/>
          <w:sz w:val="24"/>
          <w:szCs w:val="24"/>
          <w:highlight w:val="none"/>
        </w:rPr>
        <w:t>否</w:t>
      </w:r>
    </w:p>
    <w:p w14:paraId="714797D0">
      <w:pPr>
        <w:keepNext w:val="0"/>
        <w:keepLines w:val="0"/>
        <w:pageBreakBefore w:val="0"/>
        <w:spacing w:line="360" w:lineRule="auto"/>
        <w:ind w:left="0" w:firstLine="480"/>
        <w:rPr>
          <w:rFonts w:hint="eastAsia" w:ascii="宋体" w:hAnsi="宋体" w:cs="宋体"/>
          <w:bCs/>
          <w:color w:val="auto"/>
          <w:sz w:val="24"/>
          <w:highlight w:val="none"/>
          <w:u w:val="single"/>
        </w:rPr>
      </w:pPr>
      <w:r>
        <w:rPr>
          <w:rFonts w:hint="eastAsia" w:ascii="宋体" w:hAnsi="宋体" w:eastAsia="宋体" w:cs="宋体"/>
          <w:color w:val="auto"/>
          <w:sz w:val="24"/>
          <w:szCs w:val="24"/>
          <w:highlight w:val="none"/>
        </w:rPr>
        <w:t xml:space="preserve">     收取履约保证金形式：</w:t>
      </w:r>
      <w:r>
        <w:rPr>
          <w:rFonts w:hint="eastAsia" w:ascii="宋体" w:hAnsi="宋体" w:eastAsia="宋体" w:cs="宋体"/>
          <w:bCs/>
          <w:color w:val="auto"/>
          <w:sz w:val="24"/>
          <w:szCs w:val="24"/>
          <w:highlight w:val="none"/>
          <w:u w:val="single"/>
        </w:rPr>
        <w:t>供应商应当以支票、汇票、本票或者金融机构、担保机构出具的保函等非现金形式提交履约保证金。依据《关于在全省政府采购领域推行电子履约保函（保险）的通知》，鼓励供应商自愿使用电子履约保函</w:t>
      </w:r>
      <w:r>
        <w:rPr>
          <w:rFonts w:hint="eastAsia" w:ascii="宋体" w:hAnsi="宋体" w:cs="宋体"/>
          <w:bCs/>
          <w:color w:val="auto"/>
          <w:sz w:val="24"/>
          <w:highlight w:val="none"/>
          <w:u w:val="single"/>
        </w:rPr>
        <w:t>（保险）代替缴纳履约保证金。</w:t>
      </w:r>
    </w:p>
    <w:p w14:paraId="38F1DB0A">
      <w:pPr>
        <w:keepNext w:val="0"/>
        <w:keepLines w:val="0"/>
        <w:pageBreakBefore w:val="0"/>
        <w:spacing w:line="360" w:lineRule="auto"/>
        <w:ind w:left="0" w:firstLine="480"/>
        <w:rPr>
          <w:rFonts w:ascii="宋体" w:hAnsi="宋体" w:cs="宋体"/>
          <w:color w:val="auto"/>
          <w:sz w:val="24"/>
          <w:highlight w:val="none"/>
        </w:rPr>
      </w:pPr>
      <w:r>
        <w:rPr>
          <w:rFonts w:hint="eastAsia" w:ascii="宋体" w:hAnsi="宋体" w:cs="宋体"/>
          <w:bCs/>
          <w:color w:val="auto"/>
          <w:sz w:val="24"/>
          <w:highlight w:val="none"/>
          <w:u w:val="single"/>
        </w:rPr>
        <w:t xml:space="preserve"> 如以履约保函（保险）形式缴纳履约保证金，供应商可通过政府采购电子履约保函（保险）平台（www.jsdzbh.com）在线申请履约保函（保险）。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p>
    <w:p w14:paraId="708734A9">
      <w:pPr>
        <w:keepNext w:val="0"/>
        <w:keepLines w:val="0"/>
        <w:pageBreakBefore w:val="0"/>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 xml:space="preserve">     收取履约保证金金额：</w:t>
      </w:r>
      <w:r>
        <w:rPr>
          <w:rFonts w:hint="eastAsia" w:ascii="宋体" w:hAnsi="宋体" w:cs="宋体"/>
          <w:bCs/>
          <w:color w:val="auto"/>
          <w:sz w:val="24"/>
          <w:highlight w:val="none"/>
          <w:u w:val="single"/>
        </w:rPr>
        <w:t xml:space="preserve">合同金额的10% </w:t>
      </w:r>
      <w:r>
        <w:rPr>
          <w:rFonts w:hint="eastAsia" w:ascii="宋体" w:hAnsi="宋体" w:cs="宋体"/>
          <w:bCs/>
          <w:color w:val="auto"/>
          <w:sz w:val="24"/>
          <w:highlight w:val="none"/>
          <w:u w:val="single"/>
          <w:lang w:eastAsia="zh-CN"/>
        </w:rPr>
        <w:t>。</w:t>
      </w:r>
      <w:r>
        <w:rPr>
          <w:rFonts w:hint="eastAsia" w:ascii="宋体" w:hAnsi="宋体" w:cs="宋体"/>
          <w:color w:val="auto"/>
          <w:sz w:val="24"/>
          <w:highlight w:val="none"/>
        </w:rPr>
        <w:t xml:space="preserve">      </w:t>
      </w:r>
    </w:p>
    <w:p w14:paraId="69ED63B7">
      <w:pPr>
        <w:keepNext w:val="0"/>
        <w:keepLines w:val="0"/>
        <w:pageBreakBefore w:val="0"/>
        <w:spacing w:line="360" w:lineRule="auto"/>
        <w:ind w:left="0" w:firstLine="480"/>
        <w:rPr>
          <w:rFonts w:hint="eastAsia" w:ascii="宋体" w:hAnsi="宋体" w:cs="宋体"/>
          <w:bCs/>
          <w:color w:val="auto"/>
          <w:sz w:val="24"/>
          <w:highlight w:val="none"/>
          <w:u w:val="single"/>
        </w:rPr>
      </w:pPr>
      <w:r>
        <w:rPr>
          <w:rFonts w:hint="eastAsia" w:ascii="宋体" w:hAnsi="宋体" w:cs="宋体"/>
          <w:color w:val="auto"/>
          <w:sz w:val="24"/>
          <w:highlight w:val="none"/>
        </w:rPr>
        <w:t xml:space="preserve">     履约担保期限：</w:t>
      </w:r>
      <w:r>
        <w:rPr>
          <w:rFonts w:hint="eastAsia" w:ascii="宋体" w:hAnsi="宋体" w:cs="宋体"/>
          <w:bCs/>
          <w:color w:val="auto"/>
          <w:sz w:val="24"/>
          <w:highlight w:val="none"/>
          <w:u w:val="single"/>
          <w:lang w:val="en-US" w:eastAsia="zh-CN"/>
        </w:rPr>
        <w:t>合同签订后90天。</w:t>
      </w:r>
    </w:p>
    <w:p w14:paraId="4B569CA9">
      <w:pPr>
        <w:keepNext w:val="0"/>
        <w:keepLines w:val="0"/>
        <w:pageBreakBefore w:val="0"/>
        <w:spacing w:line="360" w:lineRule="auto"/>
        <w:ind w:left="0" w:firstLine="480"/>
        <w:rPr>
          <w:rFonts w:hint="eastAsia" w:ascii="宋体" w:hAnsi="宋体" w:cs="宋体" w:eastAsiaTheme="minorEastAsia"/>
          <w:bCs/>
          <w:color w:val="auto"/>
          <w:sz w:val="24"/>
          <w:highlight w:val="none"/>
          <w:lang w:val="en-US"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）分期履行要求：</w:t>
      </w:r>
      <w:r>
        <w:rPr>
          <w:rFonts w:hint="eastAsia" w:ascii="宋体" w:hAnsi="宋体" w:cs="宋体"/>
          <w:bCs/>
          <w:color w:val="auto"/>
          <w:sz w:val="24"/>
          <w:highlight w:val="none"/>
          <w:lang w:val="en-US" w:eastAsia="zh-CN"/>
        </w:rPr>
        <w:t>/</w:t>
      </w:r>
    </w:p>
    <w:p w14:paraId="4BFF0388">
      <w:pPr>
        <w:keepNext w:val="0"/>
        <w:keepLines w:val="0"/>
        <w:pageBreakBefore w:val="0"/>
        <w:spacing w:line="360" w:lineRule="auto"/>
        <w:ind w:left="0" w:firstLine="480"/>
        <w:rPr>
          <w:rFonts w:hint="eastAsia" w:ascii="宋体" w:hAnsi="宋体" w:cs="宋体" w:eastAsiaTheme="minorEastAsia"/>
          <w:color w:val="auto"/>
          <w:sz w:val="24"/>
          <w:highlight w:val="none"/>
          <w:u w:val="single"/>
          <w:lang w:val="en-US"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）风险处置措施和替代方案：</w:t>
      </w:r>
      <w:r>
        <w:rPr>
          <w:rFonts w:hint="eastAsia" w:ascii="宋体" w:hAnsi="宋体" w:cs="宋体"/>
          <w:bCs/>
          <w:color w:val="auto"/>
          <w:sz w:val="24"/>
          <w:highlight w:val="none"/>
          <w:lang w:val="en-US" w:eastAsia="zh-CN"/>
        </w:rPr>
        <w:t>/</w:t>
      </w:r>
    </w:p>
    <w:p w14:paraId="0A3DCCAD">
      <w:pPr>
        <w:keepNext w:val="0"/>
        <w:keepLines w:val="0"/>
        <w:pageBreakBefore w:val="0"/>
        <w:numPr>
          <w:ilvl w:val="0"/>
          <w:numId w:val="1"/>
        </w:numPr>
        <w:spacing w:line="360" w:lineRule="auto"/>
        <w:ind w:left="0" w:firstLine="482"/>
        <w:rPr>
          <w:rFonts w:ascii="宋体" w:hAnsi="宋体"/>
          <w:b/>
          <w:color w:val="auto"/>
          <w:sz w:val="24"/>
          <w:highlight w:val="none"/>
        </w:rPr>
      </w:pPr>
      <w:r>
        <w:rPr>
          <w:rFonts w:hint="eastAsia" w:ascii="宋体" w:hAnsi="宋体"/>
          <w:b/>
          <w:color w:val="auto"/>
          <w:sz w:val="24"/>
          <w:highlight w:val="none"/>
        </w:rPr>
        <w:t>合同验收</w:t>
      </w:r>
    </w:p>
    <w:p w14:paraId="3D981D78">
      <w:pPr>
        <w:keepNext w:val="0"/>
        <w:keepLines w:val="0"/>
        <w:pageBreakBefore w:val="0"/>
        <w:numPr>
          <w:ilvl w:val="0"/>
          <w:numId w:val="2"/>
        </w:numPr>
        <w:spacing w:line="360" w:lineRule="auto"/>
        <w:ind w:left="0" w:firstLine="480"/>
        <w:rPr>
          <w:rFonts w:ascii="宋体" w:hAnsi="宋体"/>
          <w:bCs/>
          <w:color w:val="auto"/>
          <w:sz w:val="24"/>
          <w:highlight w:val="none"/>
        </w:rPr>
      </w:pPr>
      <w:r>
        <w:rPr>
          <w:rFonts w:hint="eastAsia" w:ascii="宋体" w:hAnsi="宋体"/>
          <w:bCs/>
          <w:color w:val="auto"/>
          <w:sz w:val="24"/>
          <w:highlight w:val="none"/>
        </w:rPr>
        <w:t>验收组织方式：</w:t>
      </w:r>
      <w:r>
        <w:rPr>
          <w:rFonts w:ascii="Wingdings" w:hAnsi="Wingdings" w:eastAsia="Wingdings" w:cs="Wingdings"/>
          <w:color w:val="auto"/>
          <w:sz w:val="24"/>
          <w:highlight w:val="none"/>
        </w:rPr>
        <w:t>þ</w:t>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w:t>
      </w:r>
      <w:r>
        <w:rPr>
          <w:rFonts w:hint="eastAsia" w:ascii="宋体" w:hAnsi="宋体"/>
          <w:bCs/>
          <w:color w:val="auto"/>
          <w:sz w:val="24"/>
          <w:highlight w:val="none"/>
        </w:rPr>
        <w:t>委托第三方组织</w:t>
      </w:r>
    </w:p>
    <w:p w14:paraId="190CA5F2">
      <w:pPr>
        <w:keepNext w:val="0"/>
        <w:keepLines w:val="0"/>
        <w:pageBreakBefore w:val="0"/>
        <w:spacing w:line="360" w:lineRule="auto"/>
        <w:ind w:left="0" w:firstLine="480"/>
        <w:rPr>
          <w:rFonts w:ascii="宋体" w:hAnsi="宋体" w:cs="宋体"/>
          <w:color w:val="auto"/>
          <w:sz w:val="24"/>
          <w:highlight w:val="none"/>
        </w:rPr>
      </w:pPr>
      <w:r>
        <w:rPr>
          <w:rFonts w:hint="eastAsia" w:ascii="宋体" w:hAnsi="宋体"/>
          <w:bCs/>
          <w:color w:val="auto"/>
          <w:sz w:val="24"/>
          <w:highlight w:val="none"/>
        </w:rPr>
        <w:t>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东台市实验小学</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p>
    <w:p w14:paraId="3CE0BB50">
      <w:pPr>
        <w:keepNext w:val="0"/>
        <w:keepLines w:val="0"/>
        <w:pageBreakBefore w:val="0"/>
        <w:spacing w:line="360" w:lineRule="auto"/>
        <w:ind w:left="0" w:firstLine="480"/>
        <w:rPr>
          <w:rFonts w:ascii="宋体" w:hAnsi="宋体"/>
          <w:bCs/>
          <w:color w:val="auto"/>
          <w:sz w:val="24"/>
          <w:highlight w:val="none"/>
        </w:rPr>
      </w:pPr>
      <w:r>
        <w:rPr>
          <w:rFonts w:hint="eastAsia" w:ascii="宋体" w:hAnsi="宋体"/>
          <w:bCs/>
          <w:color w:val="auto"/>
          <w:sz w:val="24"/>
          <w:highlight w:val="none"/>
        </w:rPr>
        <w:t>是否邀请本项目的其他供应商参加验收：</w:t>
      </w:r>
      <w:r>
        <w:rPr>
          <w:rFonts w:ascii="Wingdings" w:hAnsi="Wingdings" w:eastAsia="Wingdings" w:cs="Wingdings"/>
          <w:color w:val="auto"/>
          <w:sz w:val="24"/>
          <w:highlight w:val="none"/>
        </w:rPr>
        <w:t></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þ</w:t>
      </w:r>
      <w:r>
        <w:rPr>
          <w:rFonts w:hint="eastAsia" w:ascii="宋体" w:hAnsi="宋体"/>
          <w:bCs/>
          <w:color w:val="auto"/>
          <w:sz w:val="24"/>
          <w:highlight w:val="none"/>
        </w:rPr>
        <w:t>否</w:t>
      </w:r>
    </w:p>
    <w:p w14:paraId="2326FA56">
      <w:pPr>
        <w:keepNext w:val="0"/>
        <w:keepLines w:val="0"/>
        <w:pageBreakBefore w:val="0"/>
        <w:spacing w:line="360" w:lineRule="auto"/>
        <w:ind w:left="0" w:firstLine="480"/>
        <w:rPr>
          <w:rFonts w:ascii="宋体" w:hAnsi="宋体"/>
          <w:bCs/>
          <w:color w:val="auto"/>
          <w:sz w:val="24"/>
          <w:highlight w:val="none"/>
        </w:rPr>
      </w:pPr>
      <w:r>
        <w:rPr>
          <w:rFonts w:hint="eastAsia" w:ascii="宋体" w:hAnsi="宋体"/>
          <w:bCs/>
          <w:color w:val="auto"/>
          <w:sz w:val="24"/>
          <w:highlight w:val="none"/>
        </w:rPr>
        <w:t>是否邀请专家参加验收：</w:t>
      </w:r>
      <w:r>
        <w:rPr>
          <w:rFonts w:ascii="Wingdings" w:hAnsi="Wingdings" w:eastAsia="Wingdings" w:cs="Wingdings"/>
          <w:color w:val="auto"/>
          <w:sz w:val="24"/>
          <w:highlight w:val="none"/>
        </w:rPr>
        <w:t>þ</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w:t>
      </w:r>
      <w:r>
        <w:rPr>
          <w:rFonts w:hint="eastAsia" w:ascii="宋体" w:hAnsi="宋体"/>
          <w:bCs/>
          <w:color w:val="auto"/>
          <w:sz w:val="24"/>
          <w:highlight w:val="none"/>
        </w:rPr>
        <w:t>否</w:t>
      </w:r>
    </w:p>
    <w:p w14:paraId="7594135B">
      <w:pPr>
        <w:keepNext w:val="0"/>
        <w:keepLines w:val="0"/>
        <w:pageBreakBefore w:val="0"/>
        <w:spacing w:line="360" w:lineRule="auto"/>
        <w:ind w:left="0" w:firstLine="480"/>
        <w:rPr>
          <w:rFonts w:ascii="宋体" w:hAnsi="宋体"/>
          <w:bCs/>
          <w:color w:val="auto"/>
          <w:sz w:val="24"/>
          <w:highlight w:val="none"/>
        </w:rPr>
      </w:pPr>
      <w:r>
        <w:rPr>
          <w:rFonts w:hint="eastAsia" w:ascii="宋体" w:hAnsi="宋体"/>
          <w:bCs/>
          <w:color w:val="auto"/>
          <w:sz w:val="24"/>
          <w:highlight w:val="none"/>
        </w:rPr>
        <w:t>是否邀请服务对象参加验收：</w:t>
      </w:r>
      <w:r>
        <w:rPr>
          <w:rFonts w:ascii="Wingdings" w:hAnsi="Wingdings" w:eastAsia="Wingdings" w:cs="Wingdings"/>
          <w:color w:val="auto"/>
          <w:sz w:val="24"/>
          <w:highlight w:val="none"/>
        </w:rPr>
        <w:t></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þ</w:t>
      </w:r>
      <w:r>
        <w:rPr>
          <w:rFonts w:hint="eastAsia" w:ascii="宋体" w:hAnsi="宋体"/>
          <w:bCs/>
          <w:color w:val="auto"/>
          <w:sz w:val="24"/>
          <w:highlight w:val="none"/>
        </w:rPr>
        <w:t>否</w:t>
      </w:r>
    </w:p>
    <w:p w14:paraId="2069EE63">
      <w:pPr>
        <w:keepNext w:val="0"/>
        <w:keepLines w:val="0"/>
        <w:pageBreakBefore w:val="0"/>
        <w:spacing w:line="360" w:lineRule="auto"/>
        <w:ind w:left="0" w:firstLine="480"/>
        <w:rPr>
          <w:rFonts w:ascii="宋体" w:hAnsi="宋体"/>
          <w:bCs/>
          <w:color w:val="auto"/>
          <w:sz w:val="24"/>
          <w:highlight w:val="none"/>
        </w:rPr>
      </w:pPr>
      <w:r>
        <w:rPr>
          <w:rFonts w:hint="eastAsia" w:ascii="宋体" w:hAnsi="宋体"/>
          <w:bCs/>
          <w:color w:val="auto"/>
          <w:sz w:val="24"/>
          <w:highlight w:val="none"/>
        </w:rPr>
        <w:t>是否邀请第三方检测机构参加验收：</w:t>
      </w:r>
      <w:r>
        <w:rPr>
          <w:rFonts w:ascii="Wingdings" w:hAnsi="Wingdings" w:eastAsia="Wingdings" w:cs="Wingdings"/>
          <w:color w:val="auto"/>
          <w:sz w:val="24"/>
          <w:highlight w:val="none"/>
        </w:rPr>
        <w:t>¨</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þ</w:t>
      </w:r>
      <w:r>
        <w:rPr>
          <w:rFonts w:hint="eastAsia" w:ascii="宋体" w:hAnsi="宋体"/>
          <w:bCs/>
          <w:color w:val="auto"/>
          <w:sz w:val="24"/>
          <w:highlight w:val="none"/>
        </w:rPr>
        <w:t>否</w:t>
      </w:r>
    </w:p>
    <w:p w14:paraId="5071E131">
      <w:pPr>
        <w:keepNext w:val="0"/>
        <w:keepLines w:val="0"/>
        <w:pageBreakBefore w:val="0"/>
        <w:spacing w:line="360" w:lineRule="auto"/>
        <w:ind w:left="0" w:firstLine="480"/>
        <w:rPr>
          <w:rFonts w:ascii="宋体" w:hAnsi="宋体"/>
          <w:bCs/>
          <w:color w:val="auto"/>
          <w:sz w:val="24"/>
          <w:highlight w:val="none"/>
        </w:rPr>
      </w:pPr>
      <w:r>
        <w:rPr>
          <w:rFonts w:hint="eastAsia" w:ascii="宋体" w:hAnsi="宋体"/>
          <w:bCs/>
          <w:color w:val="auto"/>
          <w:sz w:val="24"/>
          <w:highlight w:val="none"/>
        </w:rPr>
        <w:t>是否进行抽查检测：</w:t>
      </w:r>
      <w:r>
        <w:rPr>
          <w:rFonts w:ascii="Wingdings" w:hAnsi="Wingdings" w:eastAsia="Wingdings" w:cs="Wingdings"/>
          <w:color w:val="auto"/>
          <w:sz w:val="24"/>
          <w:highlight w:val="none"/>
        </w:rPr>
        <w:t></w:t>
      </w:r>
      <w:r>
        <w:rPr>
          <w:rFonts w:hint="eastAsia" w:ascii="宋体" w:hAnsi="宋体"/>
          <w:bCs/>
          <w:color w:val="auto"/>
          <w:sz w:val="24"/>
          <w:highlight w:val="none"/>
        </w:rPr>
        <w:t>是，抽查比例：</w:t>
      </w:r>
      <w:r>
        <w:rPr>
          <w:rFonts w:ascii="Wingdings" w:hAnsi="Wingdings" w:eastAsia="Wingdings" w:cs="Wingdings"/>
          <w:color w:val="auto"/>
          <w:sz w:val="24"/>
          <w:highlight w:val="none"/>
        </w:rPr>
        <w:t>þ</w:t>
      </w:r>
      <w:r>
        <w:rPr>
          <w:rFonts w:hint="eastAsia" w:ascii="宋体" w:hAnsi="宋体"/>
          <w:bCs/>
          <w:color w:val="auto"/>
          <w:sz w:val="24"/>
          <w:highlight w:val="none"/>
        </w:rPr>
        <w:t>否</w:t>
      </w:r>
    </w:p>
    <w:p w14:paraId="15EBBDFA">
      <w:pPr>
        <w:keepNext w:val="0"/>
        <w:keepLines w:val="0"/>
        <w:pageBreakBefore w:val="0"/>
        <w:spacing w:line="360" w:lineRule="auto"/>
        <w:ind w:left="0" w:firstLine="480"/>
        <w:rPr>
          <w:rFonts w:ascii="宋体" w:hAnsi="宋体"/>
          <w:bCs/>
          <w:color w:val="auto"/>
          <w:sz w:val="24"/>
          <w:highlight w:val="none"/>
          <w:u w:val="single"/>
        </w:rPr>
      </w:pPr>
      <w:r>
        <w:rPr>
          <w:rFonts w:hint="eastAsia" w:ascii="宋体" w:hAnsi="宋体"/>
          <w:bCs/>
          <w:color w:val="auto"/>
          <w:sz w:val="24"/>
          <w:highlight w:val="none"/>
        </w:rPr>
        <w:t>是否存在破坏性检测：</w:t>
      </w:r>
      <w:r>
        <w:rPr>
          <w:rFonts w:ascii="Wingdings" w:hAnsi="Wingdings" w:eastAsia="Wingdings" w:cs="Wingdings"/>
          <w:color w:val="auto"/>
          <w:sz w:val="24"/>
          <w:highlight w:val="none"/>
        </w:rPr>
        <w:t></w:t>
      </w:r>
      <w:r>
        <w:rPr>
          <w:rFonts w:hint="eastAsia" w:ascii="宋体" w:hAnsi="宋体"/>
          <w:bCs/>
          <w:color w:val="auto"/>
          <w:sz w:val="24"/>
          <w:highlight w:val="none"/>
        </w:rPr>
        <w:t>是，</w:t>
      </w:r>
      <w:r>
        <w:rPr>
          <w:rFonts w:hint="eastAsia" w:ascii="宋体" w:hAnsi="宋体"/>
          <w:bCs/>
          <w:color w:val="auto"/>
          <w:sz w:val="24"/>
          <w:highlight w:val="none"/>
          <w:u w:val="single"/>
        </w:rPr>
        <w:t>（应明确对被破坏的检测产品的处理方式）</w:t>
      </w:r>
    </w:p>
    <w:p w14:paraId="24F4B93D">
      <w:pPr>
        <w:keepNext w:val="0"/>
        <w:keepLines w:val="0"/>
        <w:pageBreakBefore w:val="0"/>
        <w:spacing w:line="360" w:lineRule="auto"/>
        <w:ind w:left="0" w:firstLine="480"/>
        <w:rPr>
          <w:rFonts w:ascii="宋体" w:hAnsi="宋体"/>
          <w:bCs/>
          <w:color w:val="auto"/>
          <w:sz w:val="24"/>
          <w:highlight w:val="none"/>
        </w:rPr>
      </w:pPr>
      <w:r>
        <w:rPr>
          <w:rFonts w:ascii="Wingdings" w:hAnsi="Wingdings" w:eastAsia="Wingdings" w:cs="Wingdings"/>
          <w:color w:val="auto"/>
          <w:sz w:val="24"/>
          <w:highlight w:val="none"/>
        </w:rPr>
        <w:t>þ</w:t>
      </w:r>
      <w:r>
        <w:rPr>
          <w:rFonts w:hint="eastAsia" w:ascii="宋体" w:hAnsi="宋体"/>
          <w:bCs/>
          <w:color w:val="auto"/>
          <w:sz w:val="24"/>
          <w:highlight w:val="none"/>
        </w:rPr>
        <w:t>否</w:t>
      </w:r>
    </w:p>
    <w:p w14:paraId="1FE43F3A">
      <w:pPr>
        <w:keepNext w:val="0"/>
        <w:keepLines w:val="0"/>
        <w:pageBreakBefore w:val="0"/>
        <w:spacing w:line="360" w:lineRule="auto"/>
        <w:ind w:left="0" w:firstLine="480"/>
        <w:rPr>
          <w:rFonts w:ascii="宋体" w:hAnsi="宋体"/>
          <w:bCs/>
          <w:color w:val="auto"/>
          <w:sz w:val="24"/>
          <w:highlight w:val="none"/>
          <w:u w:val="single"/>
        </w:rPr>
      </w:pPr>
      <w:r>
        <w:rPr>
          <w:rFonts w:hint="eastAsia" w:ascii="宋体" w:hAnsi="宋体"/>
          <w:bCs/>
          <w:color w:val="auto"/>
          <w:sz w:val="24"/>
          <w:highlight w:val="none"/>
        </w:rPr>
        <w:t>验收组织的其他事项：</w:t>
      </w:r>
    </w:p>
    <w:p w14:paraId="02988926">
      <w:pPr>
        <w:keepNext w:val="0"/>
        <w:keepLines w:val="0"/>
        <w:pageBreakBefore w:val="0"/>
        <w:spacing w:line="360" w:lineRule="auto"/>
        <w:ind w:left="0" w:firstLine="480"/>
        <w:rPr>
          <w:rFonts w:ascii="宋体" w:hAnsi="宋体"/>
          <w:bCs/>
          <w:color w:val="auto"/>
          <w:sz w:val="24"/>
          <w:highlight w:val="none"/>
          <w:u w:val="single"/>
        </w:rPr>
      </w:pPr>
      <w:r>
        <w:rPr>
          <w:rFonts w:hint="eastAsia" w:ascii="宋体" w:hAnsi="宋体"/>
          <w:bCs/>
          <w:color w:val="auto"/>
          <w:sz w:val="24"/>
          <w:highlight w:val="none"/>
        </w:rPr>
        <w:t>（2）履约验收时间：</w:t>
      </w:r>
      <w:r>
        <w:rPr>
          <w:rFonts w:hint="eastAsia" w:ascii="宋体" w:hAnsi="宋体"/>
          <w:bCs/>
          <w:color w:val="auto"/>
          <w:sz w:val="24"/>
          <w:highlight w:val="none"/>
          <w:u w:val="single"/>
        </w:rPr>
        <w:t>供应商提出</w:t>
      </w:r>
      <w:r>
        <w:rPr>
          <w:rFonts w:hint="eastAsia" w:ascii="宋体" w:hAnsi="宋体"/>
          <w:bCs/>
          <w:color w:val="auto"/>
          <w:sz w:val="24"/>
          <w:highlight w:val="none"/>
          <w:u w:val="single"/>
          <w:lang w:val="en-US" w:eastAsia="zh-CN"/>
        </w:rPr>
        <w:t>书面</w:t>
      </w:r>
      <w:r>
        <w:rPr>
          <w:rFonts w:hint="eastAsia" w:ascii="宋体" w:hAnsi="宋体"/>
          <w:bCs/>
          <w:color w:val="auto"/>
          <w:sz w:val="24"/>
          <w:highlight w:val="none"/>
          <w:u w:val="single"/>
        </w:rPr>
        <w:t xml:space="preserve">验收申请之日起 </w:t>
      </w:r>
      <w:r>
        <w:rPr>
          <w:rFonts w:hint="eastAsia" w:ascii="宋体" w:hAnsi="宋体"/>
          <w:bCs/>
          <w:color w:val="auto"/>
          <w:sz w:val="24"/>
          <w:highlight w:val="none"/>
          <w:u w:val="single"/>
          <w:lang w:val="en-US" w:eastAsia="zh-CN"/>
        </w:rPr>
        <w:t xml:space="preserve">7 </w:t>
      </w:r>
      <w:r>
        <w:rPr>
          <w:rFonts w:hint="eastAsia" w:ascii="宋体" w:hAnsi="宋体"/>
          <w:bCs/>
          <w:color w:val="auto"/>
          <w:sz w:val="24"/>
          <w:highlight w:val="none"/>
          <w:u w:val="single"/>
        </w:rPr>
        <w:t>日内组织验收</w:t>
      </w:r>
    </w:p>
    <w:p w14:paraId="2E113191">
      <w:pPr>
        <w:keepNext w:val="0"/>
        <w:keepLines w:val="0"/>
        <w:pageBreakBefore w:val="0"/>
        <w:spacing w:line="360" w:lineRule="auto"/>
        <w:ind w:left="0" w:firstLine="480"/>
        <w:rPr>
          <w:rFonts w:ascii="宋体" w:hAnsi="宋体"/>
          <w:bCs/>
          <w:color w:val="auto"/>
          <w:sz w:val="24"/>
          <w:highlight w:val="none"/>
        </w:rPr>
      </w:pPr>
      <w:r>
        <w:rPr>
          <w:rFonts w:hint="eastAsia" w:ascii="宋体" w:hAnsi="宋体"/>
          <w:bCs/>
          <w:color w:val="auto"/>
          <w:sz w:val="24"/>
          <w:highlight w:val="none"/>
        </w:rPr>
        <w:t>（3）履约验收方式：</w:t>
      </w:r>
      <w:r>
        <w:rPr>
          <w:rFonts w:ascii="Wingdings" w:hAnsi="Wingdings" w:eastAsia="Wingdings" w:cs="Wingdings"/>
          <w:color w:val="auto"/>
          <w:sz w:val="24"/>
          <w:highlight w:val="none"/>
        </w:rPr>
        <w:t>þ</w:t>
      </w:r>
      <w:r>
        <w:rPr>
          <w:rFonts w:hint="eastAsia" w:ascii="宋体" w:hAnsi="宋体"/>
          <w:bCs/>
          <w:color w:val="auto"/>
          <w:sz w:val="24"/>
          <w:highlight w:val="none"/>
        </w:rPr>
        <w:t xml:space="preserve">一次性验收         </w:t>
      </w:r>
    </w:p>
    <w:p w14:paraId="06CC8439">
      <w:pPr>
        <w:keepNext w:val="0"/>
        <w:keepLines w:val="0"/>
        <w:pageBreakBefore w:val="0"/>
        <w:spacing w:line="360" w:lineRule="auto"/>
        <w:ind w:left="0" w:firstLine="480"/>
        <w:rPr>
          <w:rFonts w:hint="eastAsia" w:ascii="宋体" w:hAnsi="宋体" w:eastAsia="宋体" w:cs="宋体"/>
          <w:bCs/>
          <w:color w:val="auto"/>
          <w:sz w:val="24"/>
          <w:szCs w:val="24"/>
          <w:highlight w:val="none"/>
        </w:rPr>
      </w:pPr>
      <w:r>
        <w:rPr>
          <w:rFonts w:hint="eastAsia" w:ascii="宋体" w:hAnsi="宋体"/>
          <w:bCs/>
          <w:color w:val="auto"/>
          <w:sz w:val="24"/>
          <w:highlight w:val="none"/>
        </w:rPr>
        <w:t>（4）履约</w:t>
      </w:r>
      <w:r>
        <w:rPr>
          <w:rFonts w:hint="eastAsia" w:ascii="宋体" w:hAnsi="宋体" w:eastAsia="宋体" w:cs="宋体"/>
          <w:bCs/>
          <w:color w:val="auto"/>
          <w:sz w:val="24"/>
          <w:szCs w:val="24"/>
          <w:highlight w:val="none"/>
        </w:rPr>
        <w:t>验收程序：</w:t>
      </w:r>
      <w:r>
        <w:rPr>
          <w:rFonts w:hint="eastAsia" w:ascii="宋体" w:hAnsi="宋体" w:eastAsia="宋体" w:cs="宋体"/>
          <w:bCs/>
          <w:color w:val="auto"/>
          <w:sz w:val="24"/>
          <w:szCs w:val="24"/>
          <w:highlight w:val="none"/>
          <w:u w:val="single"/>
        </w:rPr>
        <w:t>（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p>
    <w:p w14:paraId="447B34F3">
      <w:pPr>
        <w:keepNext w:val="0"/>
        <w:keepLines w:val="0"/>
        <w:pageBreakBefore w:val="0"/>
        <w:spacing w:line="360" w:lineRule="auto"/>
        <w:ind w:left="0"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（5）履约验收的内容：</w:t>
      </w:r>
      <w:r>
        <w:rPr>
          <w:rFonts w:hint="eastAsia" w:ascii="宋体" w:hAnsi="宋体" w:eastAsia="宋体" w:cs="宋体"/>
          <w:bCs/>
          <w:color w:val="auto"/>
          <w:sz w:val="24"/>
          <w:szCs w:val="24"/>
          <w:highlight w:val="none"/>
          <w:u w:val="single"/>
        </w:rPr>
        <w:t>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AE1178A">
      <w:pPr>
        <w:keepNext w:val="0"/>
        <w:keepLines w:val="0"/>
        <w:pageBreakBefore w:val="0"/>
        <w:spacing w:line="360" w:lineRule="auto"/>
        <w:ind w:left="0"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（6）履约验收标准：</w:t>
      </w:r>
      <w:r>
        <w:rPr>
          <w:rFonts w:hint="eastAsia" w:ascii="宋体" w:hAnsi="宋体" w:eastAsia="宋体" w:cs="宋体"/>
          <w:bCs/>
          <w:color w:val="auto"/>
          <w:sz w:val="24"/>
          <w:szCs w:val="24"/>
          <w:highlight w:val="none"/>
          <w:u w:val="single"/>
        </w:rPr>
        <w:t>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p>
    <w:p w14:paraId="1093CE6B">
      <w:pPr>
        <w:pStyle w:val="188"/>
        <w:ind w:firstLine="48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single"/>
        </w:rPr>
        <w:t>验收标准具体如下：</w:t>
      </w:r>
    </w:p>
    <w:p w14:paraId="49F95DA8">
      <w:pPr>
        <w:keepNext w:val="0"/>
        <w:keepLines w:val="0"/>
        <w:pageBreakBefore w:val="0"/>
        <w:spacing w:line="360" w:lineRule="auto"/>
        <w:ind w:left="0" w:firstLine="480"/>
        <w:rPr>
          <w:rFonts w:hint="eastAsia" w:ascii="宋体" w:hAnsi="宋体"/>
          <w:bCs/>
          <w:color w:val="auto"/>
          <w:sz w:val="24"/>
          <w:highlight w:val="none"/>
        </w:rPr>
      </w:pPr>
      <w:r>
        <w:rPr>
          <w:rFonts w:hint="eastAsia" w:ascii="宋体" w:hAnsi="宋体" w:eastAsia="宋体" w:cs="宋体"/>
          <w:bCs/>
          <w:color w:val="auto"/>
          <w:sz w:val="24"/>
          <w:szCs w:val="24"/>
          <w:highlight w:val="none"/>
        </w:rPr>
        <w:t>A、产品为全新，未使用过的原装合格正品，安装质量符合各项技术标准和国家强制性</w:t>
      </w:r>
      <w:r>
        <w:rPr>
          <w:rFonts w:hint="eastAsia" w:ascii="宋体" w:hAnsi="宋体"/>
          <w:bCs/>
          <w:color w:val="auto"/>
          <w:sz w:val="24"/>
          <w:highlight w:val="none"/>
        </w:rPr>
        <w:t>标准；</w:t>
      </w:r>
    </w:p>
    <w:p w14:paraId="3E9F523B">
      <w:pPr>
        <w:keepNext w:val="0"/>
        <w:keepLines w:val="0"/>
        <w:pageBreakBefore w:val="0"/>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B、货物到达现场后，乙方必须在使用单位人员在场情况下当面开箱，共同清点、检查外观，箱记录，双方签字确认。</w:t>
      </w:r>
    </w:p>
    <w:p w14:paraId="46BF08CD">
      <w:pPr>
        <w:keepNext w:val="0"/>
        <w:keepLines w:val="0"/>
        <w:pageBreakBefore w:val="0"/>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C、乙方应保证货物到达甲方所在地完好无损，如有缺漏、损坏，由乙方负责调换、补齐或赔偿。</w:t>
      </w:r>
    </w:p>
    <w:p w14:paraId="1BE35AD2">
      <w:pPr>
        <w:keepNext w:val="0"/>
        <w:keepLines w:val="0"/>
        <w:pageBreakBefore w:val="0"/>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D、乙方应提供完备的技术资料、装箱单和合格证等，验收合格条件（标准）如下：</w:t>
      </w:r>
    </w:p>
    <w:p w14:paraId="1D15FFEE">
      <w:pPr>
        <w:keepNext w:val="0"/>
        <w:keepLines w:val="0"/>
        <w:pageBreakBefore w:val="0"/>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①设备技术参数与采购合同一致，性能指标达到规定的标准。</w:t>
      </w:r>
    </w:p>
    <w:p w14:paraId="3336ABC1">
      <w:pPr>
        <w:keepNext w:val="0"/>
        <w:keepLines w:val="0"/>
        <w:pageBreakBefore w:val="0"/>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②货物技术资料、装箱单、合格证等资料齐全。</w:t>
      </w:r>
    </w:p>
    <w:p w14:paraId="4A1B5F03">
      <w:pPr>
        <w:keepNext w:val="0"/>
        <w:keepLines w:val="0"/>
        <w:pageBreakBefore w:val="0"/>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③在系统试运行期间所出现的问题得到解决，并运行正常。</w:t>
      </w:r>
    </w:p>
    <w:p w14:paraId="681F0CA9">
      <w:pPr>
        <w:keepNext w:val="0"/>
        <w:keepLines w:val="0"/>
        <w:pageBreakBefore w:val="0"/>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④在规定时间内完成交货并验收，并经甲方确认。</w:t>
      </w:r>
    </w:p>
    <w:p w14:paraId="4A9B95E7">
      <w:pPr>
        <w:keepNext w:val="0"/>
        <w:keepLines w:val="0"/>
        <w:pageBreakBefore w:val="0"/>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E、乙方须完成甲方所有采购的软硬件产品安装调试工作，须符合甲方要求并试运行1个月后，才作为最终验收。</w:t>
      </w:r>
    </w:p>
    <w:p w14:paraId="1A5D905F">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bCs/>
          <w:color w:val="auto"/>
          <w:sz w:val="24"/>
          <w:highlight w:val="none"/>
        </w:rPr>
        <w:t>F、乙方提供的货物未达到采购文件规定要求，且对甲方造成损失的，由乙方承担一切责</w:t>
      </w:r>
      <w:r>
        <w:rPr>
          <w:rFonts w:hint="eastAsia" w:ascii="宋体" w:hAnsi="宋体" w:eastAsia="宋体" w:cs="宋体"/>
          <w:bCs/>
          <w:color w:val="auto"/>
          <w:sz w:val="24"/>
          <w:highlight w:val="none"/>
        </w:rPr>
        <w:t>任，并赔偿所造成的损失。</w:t>
      </w:r>
    </w:p>
    <w:p w14:paraId="23612461">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G、甲方可邀请国家认可的质量检测机构参加验收工作。</w:t>
      </w:r>
    </w:p>
    <w:p w14:paraId="31B520E0">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H、甲方需要制造商对乙方交付的产品（包括质量、技术参数等）进行确认的，乙方须无条件配合，并出具书面确认证明。</w:t>
      </w:r>
    </w:p>
    <w:p w14:paraId="011A3243">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val="en-US" w:eastAsia="zh-CN"/>
        </w:rPr>
        <w:t>I</w:t>
      </w:r>
      <w:r>
        <w:rPr>
          <w:rFonts w:hint="eastAsia" w:ascii="宋体" w:hAnsi="宋体" w:eastAsia="宋体" w:cs="宋体"/>
          <w:bCs/>
          <w:color w:val="auto"/>
          <w:sz w:val="24"/>
          <w:highlight w:val="none"/>
        </w:rPr>
        <w:t>、产品包装材料归甲方所有。</w:t>
      </w:r>
    </w:p>
    <w:p w14:paraId="53AE4B4B">
      <w:pPr>
        <w:keepNext w:val="0"/>
        <w:keepLines w:val="0"/>
        <w:pageBreakBefore w:val="0"/>
        <w:widowControl/>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（7）是否以采购活动中供应商提供的样品作为参考：</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þ</w:t>
      </w:r>
      <w:r>
        <w:rPr>
          <w:rFonts w:hint="eastAsia" w:ascii="宋体" w:hAnsi="宋体" w:eastAsia="宋体" w:cs="宋体"/>
          <w:bCs/>
          <w:color w:val="auto"/>
          <w:sz w:val="24"/>
          <w:highlight w:val="none"/>
        </w:rPr>
        <w:t>否</w:t>
      </w:r>
    </w:p>
    <w:p w14:paraId="45208CC0">
      <w:pPr>
        <w:keepNext w:val="0"/>
        <w:keepLines w:val="0"/>
        <w:pageBreakBefore w:val="0"/>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highlight w:val="none"/>
        </w:rPr>
        <w:t>（8）履约验收其他事项：</w:t>
      </w:r>
      <w:r>
        <w:rPr>
          <w:rFonts w:hint="eastAsia" w:ascii="宋体" w:hAnsi="宋体" w:eastAsia="宋体" w:cs="宋体"/>
          <w:bCs/>
          <w:color w:val="auto"/>
          <w:sz w:val="24"/>
          <w:szCs w:val="24"/>
          <w:highlight w:val="none"/>
          <w:u w:val="single"/>
        </w:rPr>
        <w:t>本项目涉及政策法规要求办理的相关证件，由乙方负责资料收集和整理工作，并积极协助甲方报送办理相关手续，直至取得使用许可，否则甲方有权暂停支付合同价款。</w:t>
      </w:r>
    </w:p>
    <w:p w14:paraId="0E51CE6B">
      <w:pPr>
        <w:keepNext w:val="0"/>
        <w:keepLines w:val="0"/>
        <w:pageBreakBefore w:val="0"/>
        <w:numPr>
          <w:ilvl w:val="0"/>
          <w:numId w:val="1"/>
        </w:numPr>
        <w:spacing w:line="360" w:lineRule="auto"/>
        <w:ind w:left="0" w:firstLine="482"/>
        <w:rPr>
          <w:rFonts w:ascii="宋体" w:hAnsi="宋体"/>
          <w:b/>
          <w:color w:val="auto"/>
          <w:sz w:val="24"/>
          <w:highlight w:val="none"/>
        </w:rPr>
      </w:pPr>
      <w:r>
        <w:rPr>
          <w:rFonts w:hint="eastAsia" w:ascii="宋体" w:hAnsi="宋体"/>
          <w:b/>
          <w:color w:val="auto"/>
          <w:sz w:val="24"/>
          <w:highlight w:val="none"/>
        </w:rPr>
        <w:t>组成合同的文件</w:t>
      </w:r>
    </w:p>
    <w:p w14:paraId="37712865">
      <w:pPr>
        <w:keepNext w:val="0"/>
        <w:keepLines w:val="0"/>
        <w:pageBreakBefore w:val="0"/>
        <w:spacing w:line="360" w:lineRule="auto"/>
        <w:ind w:left="0" w:firstLine="480"/>
        <w:rPr>
          <w:rFonts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2FAC382C">
      <w:pPr>
        <w:keepNext w:val="0"/>
        <w:keepLines w:val="0"/>
        <w:pageBreakBefore w:val="0"/>
        <w:spacing w:line="360" w:lineRule="auto"/>
        <w:ind w:left="0" w:firstLine="480"/>
        <w:rPr>
          <w:rFonts w:hint="eastAsia" w:ascii="宋体" w:hAnsi="宋体"/>
          <w:color w:val="auto"/>
          <w:sz w:val="24"/>
          <w:highlight w:val="none"/>
        </w:rPr>
      </w:pPr>
      <w:r>
        <w:rPr>
          <w:rFonts w:hint="eastAsia" w:ascii="宋体" w:hAnsi="宋体"/>
          <w:color w:val="auto"/>
          <w:sz w:val="24"/>
          <w:highlight w:val="none"/>
        </w:rPr>
        <w:t>（1）政府采购合同协议书及其变更、补充协议</w:t>
      </w:r>
    </w:p>
    <w:p w14:paraId="1823DE03">
      <w:pPr>
        <w:keepNext w:val="0"/>
        <w:keepLines w:val="0"/>
        <w:pageBreakBefore w:val="0"/>
        <w:spacing w:line="360" w:lineRule="auto"/>
        <w:ind w:left="0" w:firstLine="480"/>
        <w:rPr>
          <w:rFonts w:hint="eastAsia" w:ascii="宋体" w:hAnsi="宋体"/>
          <w:color w:val="auto"/>
          <w:sz w:val="24"/>
          <w:highlight w:val="none"/>
        </w:rPr>
      </w:pPr>
      <w:r>
        <w:rPr>
          <w:rFonts w:hint="eastAsia" w:ascii="宋体" w:hAnsi="宋体"/>
          <w:color w:val="auto"/>
          <w:sz w:val="24"/>
          <w:highlight w:val="none"/>
        </w:rPr>
        <w:t>（2）政府采购合同专用条款</w:t>
      </w:r>
    </w:p>
    <w:p w14:paraId="5E691E38">
      <w:pPr>
        <w:keepNext w:val="0"/>
        <w:keepLines w:val="0"/>
        <w:pageBreakBefore w:val="0"/>
        <w:spacing w:line="360" w:lineRule="auto"/>
        <w:ind w:left="0" w:firstLine="480"/>
        <w:rPr>
          <w:rFonts w:hint="eastAsia" w:ascii="宋体" w:hAnsi="宋体"/>
          <w:color w:val="auto"/>
          <w:sz w:val="24"/>
          <w:highlight w:val="none"/>
        </w:rPr>
      </w:pPr>
      <w:r>
        <w:rPr>
          <w:rFonts w:hint="eastAsia" w:ascii="宋体" w:hAnsi="宋体"/>
          <w:color w:val="auto"/>
          <w:sz w:val="24"/>
          <w:highlight w:val="none"/>
        </w:rPr>
        <w:t>（3）政府采购合同通用条款</w:t>
      </w:r>
    </w:p>
    <w:p w14:paraId="0F741B85">
      <w:pPr>
        <w:keepNext w:val="0"/>
        <w:keepLines w:val="0"/>
        <w:pageBreakBefore w:val="0"/>
        <w:spacing w:line="360" w:lineRule="auto"/>
        <w:ind w:left="0" w:firstLine="480"/>
        <w:rPr>
          <w:rFonts w:hint="eastAsia" w:ascii="宋体" w:hAnsi="宋体"/>
          <w:color w:val="auto"/>
          <w:sz w:val="24"/>
          <w:highlight w:val="none"/>
        </w:rPr>
      </w:pPr>
      <w:r>
        <w:rPr>
          <w:rFonts w:hint="eastAsia" w:ascii="宋体" w:hAnsi="宋体"/>
          <w:color w:val="auto"/>
          <w:sz w:val="24"/>
          <w:highlight w:val="none"/>
        </w:rPr>
        <w:t>（4）中标（成交）通知书</w:t>
      </w:r>
    </w:p>
    <w:p w14:paraId="6A28B5EE">
      <w:pPr>
        <w:keepNext w:val="0"/>
        <w:keepLines w:val="0"/>
        <w:pageBreakBefore w:val="0"/>
        <w:spacing w:line="360" w:lineRule="auto"/>
        <w:ind w:left="0" w:firstLine="480"/>
        <w:rPr>
          <w:rFonts w:hint="eastAsia" w:ascii="宋体" w:hAnsi="宋体"/>
          <w:color w:val="auto"/>
          <w:sz w:val="24"/>
          <w:highlight w:val="none"/>
        </w:rPr>
      </w:pPr>
      <w:r>
        <w:rPr>
          <w:rFonts w:hint="eastAsia" w:ascii="宋体" w:hAnsi="宋体"/>
          <w:color w:val="auto"/>
          <w:sz w:val="24"/>
          <w:highlight w:val="none"/>
        </w:rPr>
        <w:t>（5）投标（响应）文件</w:t>
      </w:r>
    </w:p>
    <w:p w14:paraId="1C1AC11B">
      <w:pPr>
        <w:keepNext w:val="0"/>
        <w:keepLines w:val="0"/>
        <w:pageBreakBefore w:val="0"/>
        <w:spacing w:line="360" w:lineRule="auto"/>
        <w:ind w:left="0" w:firstLine="480"/>
        <w:rPr>
          <w:rFonts w:hint="eastAsia" w:ascii="宋体" w:hAnsi="宋体"/>
          <w:color w:val="auto"/>
          <w:sz w:val="24"/>
          <w:highlight w:val="none"/>
        </w:rPr>
      </w:pPr>
      <w:r>
        <w:rPr>
          <w:rFonts w:hint="eastAsia" w:ascii="宋体" w:hAnsi="宋体"/>
          <w:color w:val="auto"/>
          <w:sz w:val="24"/>
          <w:highlight w:val="none"/>
        </w:rPr>
        <w:t>（6）采购文件</w:t>
      </w:r>
    </w:p>
    <w:p w14:paraId="51B3CBE3">
      <w:pPr>
        <w:keepNext w:val="0"/>
        <w:keepLines w:val="0"/>
        <w:pageBreakBefore w:val="0"/>
        <w:spacing w:line="360" w:lineRule="auto"/>
        <w:ind w:left="0" w:firstLine="480"/>
        <w:rPr>
          <w:rFonts w:hint="eastAsia" w:ascii="宋体" w:hAnsi="宋体"/>
          <w:color w:val="auto"/>
          <w:sz w:val="24"/>
          <w:highlight w:val="none"/>
        </w:rPr>
      </w:pPr>
      <w:r>
        <w:rPr>
          <w:rFonts w:hint="eastAsia" w:ascii="宋体" w:hAnsi="宋体"/>
          <w:color w:val="auto"/>
          <w:sz w:val="24"/>
          <w:highlight w:val="none"/>
        </w:rPr>
        <w:t>（7）有关技术文件，图纸</w:t>
      </w:r>
    </w:p>
    <w:p w14:paraId="3D1FF6FA">
      <w:pPr>
        <w:keepNext w:val="0"/>
        <w:keepLines w:val="0"/>
        <w:pageBreakBefore w:val="0"/>
        <w:spacing w:line="360" w:lineRule="auto"/>
        <w:ind w:left="0" w:firstLine="480"/>
        <w:rPr>
          <w:rFonts w:hint="eastAsia" w:ascii="宋体" w:hAnsi="宋体"/>
          <w:color w:val="auto"/>
          <w:sz w:val="24"/>
          <w:highlight w:val="none"/>
        </w:rPr>
      </w:pPr>
      <w:r>
        <w:rPr>
          <w:rFonts w:hint="eastAsia" w:ascii="宋体" w:hAnsi="宋体"/>
          <w:color w:val="auto"/>
          <w:sz w:val="24"/>
          <w:highlight w:val="none"/>
        </w:rPr>
        <w:t>（8）国家法律、行政法规和规章制度规定或合同约定的作为合同组成部分的其他文件</w:t>
      </w:r>
    </w:p>
    <w:p w14:paraId="5F64146D">
      <w:pPr>
        <w:keepNext w:val="0"/>
        <w:keepLines w:val="0"/>
        <w:pageBreakBefore w:val="0"/>
        <w:spacing w:line="360" w:lineRule="auto"/>
        <w:ind w:left="0" w:firstLine="422"/>
        <w:rPr>
          <w:rFonts w:ascii="宋体" w:hAnsi="宋体"/>
          <w:b/>
          <w:color w:val="auto"/>
          <w:szCs w:val="21"/>
          <w:highlight w:val="none"/>
        </w:rPr>
      </w:pPr>
      <w:r>
        <w:rPr>
          <w:rFonts w:hint="eastAsia" w:ascii="宋体" w:hAnsi="宋体"/>
          <w:b/>
          <w:color w:val="auto"/>
          <w:szCs w:val="21"/>
          <w:highlight w:val="none"/>
        </w:rPr>
        <w:t>6.</w:t>
      </w:r>
      <w:r>
        <w:rPr>
          <w:rFonts w:hint="eastAsia" w:ascii="宋体" w:hAnsi="宋体"/>
          <w:b/>
          <w:color w:val="auto"/>
          <w:sz w:val="24"/>
          <w:highlight w:val="none"/>
        </w:rPr>
        <w:t>合同生效</w:t>
      </w:r>
    </w:p>
    <w:p w14:paraId="0DFC9379">
      <w:pPr>
        <w:keepNext w:val="0"/>
        <w:keepLines w:val="0"/>
        <w:pageBreakBefore w:val="0"/>
        <w:spacing w:line="360" w:lineRule="auto"/>
        <w:ind w:left="0" w:firstLine="480"/>
        <w:rPr>
          <w:rFonts w:ascii="宋体" w:hAnsi="宋体"/>
          <w:color w:val="auto"/>
          <w:sz w:val="24"/>
          <w:highlight w:val="none"/>
        </w:rPr>
      </w:pPr>
      <w:r>
        <w:rPr>
          <w:rFonts w:hint="eastAsia" w:ascii="宋体" w:hAnsi="宋体"/>
          <w:color w:val="auto"/>
          <w:sz w:val="24"/>
          <w:highlight w:val="none"/>
        </w:rPr>
        <w:t>本合同自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日生效。</w:t>
      </w:r>
    </w:p>
    <w:p w14:paraId="638ACE7D">
      <w:pPr>
        <w:keepNext w:val="0"/>
        <w:keepLines w:val="0"/>
        <w:pageBreakBefore w:val="0"/>
        <w:spacing w:line="360" w:lineRule="auto"/>
        <w:ind w:left="0" w:firstLine="482"/>
        <w:rPr>
          <w:rFonts w:ascii="宋体" w:hAnsi="宋体"/>
          <w:b/>
          <w:color w:val="auto"/>
          <w:sz w:val="24"/>
          <w:highlight w:val="none"/>
        </w:rPr>
      </w:pPr>
      <w:r>
        <w:rPr>
          <w:rFonts w:hint="eastAsia" w:ascii="宋体" w:hAnsi="宋体"/>
          <w:b/>
          <w:color w:val="auto"/>
          <w:sz w:val="24"/>
          <w:highlight w:val="none"/>
        </w:rPr>
        <w:t>7.合同份数</w:t>
      </w:r>
    </w:p>
    <w:p w14:paraId="6681D1E6">
      <w:pPr>
        <w:keepNext w:val="0"/>
        <w:keepLines w:val="0"/>
        <w:pageBreakBefore w:val="0"/>
        <w:spacing w:line="360" w:lineRule="auto"/>
        <w:ind w:left="0" w:firstLine="42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2189FDD0">
      <w:pPr>
        <w:keepNext w:val="0"/>
        <w:keepLines w:val="0"/>
        <w:pageBreakBefore w:val="0"/>
        <w:spacing w:line="360" w:lineRule="auto"/>
        <w:ind w:left="0" w:firstLine="42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01971C77">
      <w:pPr>
        <w:keepNext w:val="0"/>
        <w:keepLines w:val="0"/>
        <w:pageBreakBefore w:val="0"/>
        <w:spacing w:line="360" w:lineRule="auto"/>
        <w:ind w:left="0" w:firstLine="420"/>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716CD4D3">
      <w:pPr>
        <w:keepNext w:val="0"/>
        <w:keepLines w:val="0"/>
        <w:pageBreakBefore w:val="0"/>
        <w:spacing w:line="360" w:lineRule="auto"/>
        <w:ind w:left="0" w:firstLine="420"/>
        <w:rPr>
          <w:color w:val="auto"/>
          <w:highlight w:val="none"/>
        </w:rPr>
      </w:pPr>
      <w:r>
        <w:rPr>
          <w:rFonts w:hint="eastAsia" w:ascii="宋体" w:hAnsi="宋体"/>
          <w:color w:val="auto"/>
          <w:szCs w:val="21"/>
          <w:highlight w:val="none"/>
        </w:rPr>
        <w:t>附件：具体标的及其技术要求和商务要求、联合协议、分包意向协议等。</w:t>
      </w:r>
    </w:p>
    <w:tbl>
      <w:tblPr>
        <w:tblStyle w:val="35"/>
        <w:tblW w:w="4918"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206"/>
        <w:gridCol w:w="2814"/>
        <w:gridCol w:w="2308"/>
        <w:gridCol w:w="2471"/>
      </w:tblGrid>
      <w:tr w14:paraId="31A1BEF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685" w:hRule="atLeast"/>
        </w:trPr>
        <w:tc>
          <w:tcPr>
            <w:tcW w:w="5020" w:type="dxa"/>
            <w:gridSpan w:val="2"/>
            <w:tcBorders>
              <w:bottom w:val="single" w:color="000000" w:sz="2" w:space="0"/>
              <w:right w:val="single" w:color="000000" w:sz="2" w:space="0"/>
            </w:tcBorders>
            <w:noWrap w:val="0"/>
            <w:vAlign w:val="center"/>
          </w:tcPr>
          <w:p w14:paraId="6C939841">
            <w:pPr>
              <w:spacing w:line="240" w:lineRule="auto"/>
              <w:jc w:val="center"/>
              <w:rPr>
                <w:color w:val="auto"/>
                <w:sz w:val="24"/>
                <w:highlight w:val="none"/>
              </w:rPr>
            </w:pPr>
            <w:r>
              <w:rPr>
                <w:color w:val="auto"/>
                <w:sz w:val="24"/>
                <w:highlight w:val="none"/>
              </w:rPr>
              <w:t>甲方</w:t>
            </w:r>
            <w:r>
              <w:rPr>
                <w:rFonts w:hint="eastAsia"/>
                <w:color w:val="auto"/>
                <w:sz w:val="24"/>
                <w:highlight w:val="none"/>
              </w:rPr>
              <w:t>（采购人</w:t>
            </w:r>
            <w:r>
              <w:rPr>
                <w:rFonts w:hint="eastAsia" w:ascii="宋体" w:hAnsi="宋体"/>
                <w:color w:val="auto"/>
                <w:sz w:val="24"/>
                <w:highlight w:val="none"/>
              </w:rPr>
              <w:t>、受采购人委托签订合同的单位或</w:t>
            </w:r>
            <w:r>
              <w:rPr>
                <w:rFonts w:hint="eastAsia"/>
                <w:color w:val="auto"/>
                <w:sz w:val="24"/>
                <w:highlight w:val="none"/>
              </w:rPr>
              <w:t>采购文件约定的合同甲方）</w:t>
            </w:r>
          </w:p>
        </w:tc>
        <w:tc>
          <w:tcPr>
            <w:tcW w:w="4779" w:type="dxa"/>
            <w:gridSpan w:val="2"/>
            <w:tcBorders>
              <w:left w:val="single" w:color="000000" w:sz="2" w:space="0"/>
              <w:bottom w:val="single" w:color="000000" w:sz="2" w:space="0"/>
            </w:tcBorders>
            <w:noWrap w:val="0"/>
            <w:vAlign w:val="center"/>
          </w:tcPr>
          <w:p w14:paraId="3B9F2679">
            <w:pPr>
              <w:spacing w:line="240" w:lineRule="auto"/>
              <w:jc w:val="center"/>
              <w:rPr>
                <w:color w:val="auto"/>
                <w:sz w:val="24"/>
                <w:highlight w:val="none"/>
              </w:rPr>
            </w:pPr>
            <w:r>
              <w:rPr>
                <w:color w:val="auto"/>
                <w:sz w:val="24"/>
                <w:highlight w:val="none"/>
              </w:rPr>
              <w:t>乙方</w:t>
            </w:r>
            <w:r>
              <w:rPr>
                <w:rFonts w:hint="eastAsia"/>
                <w:color w:val="auto"/>
                <w:sz w:val="24"/>
                <w:highlight w:val="none"/>
              </w:rPr>
              <w:t>（供应商）</w:t>
            </w:r>
          </w:p>
        </w:tc>
      </w:tr>
      <w:tr w14:paraId="4B4C3C2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680" w:hRule="atLeast"/>
        </w:trPr>
        <w:tc>
          <w:tcPr>
            <w:tcW w:w="2206" w:type="dxa"/>
            <w:tcBorders>
              <w:top w:val="single" w:color="000000" w:sz="2" w:space="0"/>
              <w:bottom w:val="single" w:color="000000" w:sz="2" w:space="0"/>
              <w:right w:val="single" w:color="000000" w:sz="2" w:space="0"/>
            </w:tcBorders>
            <w:noWrap w:val="0"/>
            <w:vAlign w:val="center"/>
          </w:tcPr>
          <w:p w14:paraId="6697DB9D">
            <w:pPr>
              <w:spacing w:line="240" w:lineRule="auto"/>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814" w:type="dxa"/>
            <w:tcBorders>
              <w:top w:val="single" w:color="000000" w:sz="2" w:space="0"/>
              <w:left w:val="single" w:color="000000" w:sz="2" w:space="0"/>
              <w:bottom w:val="single" w:color="000000" w:sz="2" w:space="0"/>
              <w:right w:val="single" w:color="000000" w:sz="2" w:space="0"/>
            </w:tcBorders>
            <w:noWrap w:val="0"/>
            <w:vAlign w:val="center"/>
          </w:tcPr>
          <w:p w14:paraId="51FF2192">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noWrap w:val="0"/>
            <w:vAlign w:val="center"/>
          </w:tcPr>
          <w:p w14:paraId="51342688">
            <w:pPr>
              <w:spacing w:line="240" w:lineRule="auto"/>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471" w:type="dxa"/>
            <w:tcBorders>
              <w:top w:val="single" w:color="000000" w:sz="2" w:space="0"/>
              <w:left w:val="single" w:color="000000" w:sz="2" w:space="0"/>
              <w:bottom w:val="single" w:color="000000" w:sz="2" w:space="0"/>
            </w:tcBorders>
            <w:noWrap w:val="0"/>
            <w:vAlign w:val="center"/>
          </w:tcPr>
          <w:p w14:paraId="05E17792">
            <w:pPr>
              <w:spacing w:line="240" w:lineRule="auto"/>
              <w:jc w:val="center"/>
              <w:rPr>
                <w:color w:val="auto"/>
                <w:spacing w:val="20"/>
                <w:sz w:val="24"/>
                <w:highlight w:val="none"/>
              </w:rPr>
            </w:pPr>
          </w:p>
        </w:tc>
      </w:tr>
      <w:tr w14:paraId="3AE127B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016" w:hRule="atLeast"/>
        </w:trPr>
        <w:tc>
          <w:tcPr>
            <w:tcW w:w="2206" w:type="dxa"/>
            <w:vMerge w:val="restart"/>
            <w:tcBorders>
              <w:top w:val="single" w:color="000000" w:sz="2" w:space="0"/>
              <w:right w:val="single" w:color="000000" w:sz="2" w:space="0"/>
            </w:tcBorders>
            <w:noWrap w:val="0"/>
            <w:vAlign w:val="center"/>
          </w:tcPr>
          <w:p w14:paraId="6CB5E4EE">
            <w:pPr>
              <w:spacing w:line="240" w:lineRule="auto"/>
              <w:jc w:val="center"/>
              <w:rPr>
                <w:color w:val="auto"/>
                <w:sz w:val="24"/>
                <w:highlight w:val="none"/>
              </w:rPr>
            </w:pPr>
            <w:r>
              <w:rPr>
                <w:color w:val="auto"/>
                <w:sz w:val="24"/>
                <w:highlight w:val="none"/>
              </w:rPr>
              <w:t>法定代表人</w:t>
            </w:r>
          </w:p>
          <w:p w14:paraId="5F4A397A">
            <w:pPr>
              <w:spacing w:line="240" w:lineRule="auto"/>
              <w:ind w:firstLine="115"/>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（签章）</w:t>
            </w:r>
          </w:p>
        </w:tc>
        <w:tc>
          <w:tcPr>
            <w:tcW w:w="2814" w:type="dxa"/>
            <w:vMerge w:val="restart"/>
            <w:tcBorders>
              <w:top w:val="single" w:color="000000" w:sz="2" w:space="0"/>
              <w:left w:val="single" w:color="000000" w:sz="2" w:space="0"/>
              <w:right w:val="single" w:color="000000" w:sz="2" w:space="0"/>
            </w:tcBorders>
            <w:noWrap w:val="0"/>
            <w:vAlign w:val="center"/>
          </w:tcPr>
          <w:p w14:paraId="24DEAE35">
            <w:pPr>
              <w:spacing w:line="240" w:lineRule="auto"/>
              <w:jc w:val="center"/>
              <w:rPr>
                <w:color w:val="auto"/>
                <w:sz w:val="24"/>
                <w:highlight w:val="none"/>
              </w:rPr>
            </w:pPr>
          </w:p>
        </w:tc>
        <w:tc>
          <w:tcPr>
            <w:tcW w:w="2308" w:type="dxa"/>
            <w:tcBorders>
              <w:top w:val="single" w:color="000000" w:sz="2" w:space="0"/>
              <w:left w:val="single" w:color="000000" w:sz="2" w:space="0"/>
              <w:right w:val="single" w:color="000000" w:sz="2" w:space="0"/>
            </w:tcBorders>
            <w:noWrap w:val="0"/>
            <w:vAlign w:val="center"/>
          </w:tcPr>
          <w:p w14:paraId="397651FE">
            <w:pPr>
              <w:spacing w:line="240" w:lineRule="auto"/>
              <w:jc w:val="center"/>
              <w:rPr>
                <w:color w:val="auto"/>
                <w:sz w:val="24"/>
                <w:highlight w:val="none"/>
              </w:rPr>
            </w:pPr>
            <w:r>
              <w:rPr>
                <w:color w:val="auto"/>
                <w:sz w:val="24"/>
                <w:highlight w:val="none"/>
              </w:rPr>
              <w:t>法定代表人</w:t>
            </w:r>
          </w:p>
          <w:p w14:paraId="4F0E584D">
            <w:pPr>
              <w:spacing w:line="240" w:lineRule="auto"/>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（签章）</w:t>
            </w:r>
          </w:p>
        </w:tc>
        <w:tc>
          <w:tcPr>
            <w:tcW w:w="2471" w:type="dxa"/>
            <w:tcBorders>
              <w:top w:val="single" w:color="000000" w:sz="2" w:space="0"/>
              <w:left w:val="single" w:color="000000" w:sz="2" w:space="0"/>
              <w:bottom w:val="single" w:color="000000" w:sz="2" w:space="0"/>
            </w:tcBorders>
            <w:noWrap w:val="0"/>
            <w:vAlign w:val="center"/>
          </w:tcPr>
          <w:p w14:paraId="6C4E0231">
            <w:pPr>
              <w:spacing w:line="240" w:lineRule="auto"/>
              <w:jc w:val="center"/>
              <w:rPr>
                <w:color w:val="auto"/>
                <w:sz w:val="24"/>
                <w:highlight w:val="none"/>
              </w:rPr>
            </w:pPr>
          </w:p>
        </w:tc>
      </w:tr>
      <w:tr w14:paraId="0494645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363" w:hRule="atLeast"/>
        </w:trPr>
        <w:tc>
          <w:tcPr>
            <w:tcW w:w="2206" w:type="dxa"/>
            <w:vMerge w:val="continue"/>
            <w:tcBorders>
              <w:bottom w:val="single" w:color="000000" w:sz="2" w:space="0"/>
              <w:right w:val="single" w:color="000000" w:sz="2" w:space="0"/>
            </w:tcBorders>
            <w:noWrap w:val="0"/>
            <w:vAlign w:val="center"/>
          </w:tcPr>
          <w:p w14:paraId="7920D0C6">
            <w:pPr>
              <w:spacing w:line="240" w:lineRule="auto"/>
              <w:jc w:val="center"/>
              <w:rPr>
                <w:color w:val="auto"/>
                <w:sz w:val="24"/>
                <w:highlight w:val="none"/>
              </w:rPr>
            </w:pPr>
          </w:p>
        </w:tc>
        <w:tc>
          <w:tcPr>
            <w:tcW w:w="2814" w:type="dxa"/>
            <w:vMerge w:val="continue"/>
            <w:tcBorders>
              <w:left w:val="single" w:color="000000" w:sz="2" w:space="0"/>
              <w:bottom w:val="single" w:color="000000" w:sz="2" w:space="0"/>
              <w:right w:val="single" w:color="000000" w:sz="2" w:space="0"/>
            </w:tcBorders>
            <w:noWrap w:val="0"/>
            <w:vAlign w:val="center"/>
          </w:tcPr>
          <w:p w14:paraId="3A531119">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noWrap w:val="0"/>
            <w:vAlign w:val="center"/>
          </w:tcPr>
          <w:p w14:paraId="05B621F1">
            <w:pPr>
              <w:spacing w:line="240" w:lineRule="auto"/>
              <w:jc w:val="center"/>
              <w:rPr>
                <w:color w:val="auto"/>
                <w:sz w:val="24"/>
                <w:highlight w:val="none"/>
              </w:rPr>
            </w:pPr>
            <w:r>
              <w:rPr>
                <w:rFonts w:hint="eastAsia"/>
                <w:color w:val="auto"/>
                <w:sz w:val="24"/>
                <w:highlight w:val="none"/>
              </w:rPr>
              <w:t>拥有者性别</w:t>
            </w:r>
          </w:p>
        </w:tc>
        <w:tc>
          <w:tcPr>
            <w:tcW w:w="2471" w:type="dxa"/>
            <w:tcBorders>
              <w:top w:val="single" w:color="000000" w:sz="2" w:space="0"/>
              <w:left w:val="single" w:color="000000" w:sz="2" w:space="0"/>
              <w:bottom w:val="single" w:color="000000" w:sz="2" w:space="0"/>
            </w:tcBorders>
            <w:noWrap w:val="0"/>
            <w:vAlign w:val="center"/>
          </w:tcPr>
          <w:p w14:paraId="5B9A1372">
            <w:pPr>
              <w:spacing w:line="240" w:lineRule="auto"/>
              <w:jc w:val="center"/>
              <w:rPr>
                <w:color w:val="auto"/>
                <w:spacing w:val="20"/>
                <w:sz w:val="24"/>
                <w:highlight w:val="none"/>
              </w:rPr>
            </w:pPr>
          </w:p>
        </w:tc>
      </w:tr>
      <w:tr w14:paraId="54E84CF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noWrap w:val="0"/>
            <w:vAlign w:val="center"/>
          </w:tcPr>
          <w:p w14:paraId="54BCB66D">
            <w:pPr>
              <w:spacing w:line="240" w:lineRule="auto"/>
              <w:jc w:val="center"/>
              <w:rPr>
                <w:color w:val="auto"/>
                <w:sz w:val="24"/>
                <w:highlight w:val="none"/>
              </w:rPr>
            </w:pPr>
            <w:r>
              <w:rPr>
                <w:rFonts w:hint="eastAsia"/>
                <w:color w:val="auto"/>
                <w:sz w:val="24"/>
                <w:highlight w:val="none"/>
              </w:rPr>
              <w:t>住所</w:t>
            </w:r>
          </w:p>
        </w:tc>
        <w:tc>
          <w:tcPr>
            <w:tcW w:w="2814" w:type="dxa"/>
            <w:tcBorders>
              <w:top w:val="single" w:color="000000" w:sz="2" w:space="0"/>
              <w:left w:val="single" w:color="000000" w:sz="2" w:space="0"/>
              <w:bottom w:val="single" w:color="000000" w:sz="2" w:space="0"/>
              <w:right w:val="single" w:color="000000" w:sz="2" w:space="0"/>
            </w:tcBorders>
            <w:noWrap w:val="0"/>
            <w:vAlign w:val="center"/>
          </w:tcPr>
          <w:p w14:paraId="2F7F8567">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noWrap w:val="0"/>
            <w:vAlign w:val="center"/>
          </w:tcPr>
          <w:p w14:paraId="134EC59A">
            <w:pPr>
              <w:spacing w:line="240" w:lineRule="auto"/>
              <w:jc w:val="center"/>
              <w:rPr>
                <w:color w:val="auto"/>
                <w:sz w:val="24"/>
                <w:highlight w:val="none"/>
              </w:rPr>
            </w:pPr>
            <w:r>
              <w:rPr>
                <w:rFonts w:hint="eastAsia"/>
                <w:color w:val="auto"/>
                <w:sz w:val="24"/>
                <w:highlight w:val="none"/>
              </w:rPr>
              <w:t>住所</w:t>
            </w:r>
          </w:p>
        </w:tc>
        <w:tc>
          <w:tcPr>
            <w:tcW w:w="2471" w:type="dxa"/>
            <w:tcBorders>
              <w:top w:val="single" w:color="000000" w:sz="2" w:space="0"/>
              <w:left w:val="single" w:color="000000" w:sz="2" w:space="0"/>
              <w:bottom w:val="single" w:color="000000" w:sz="2" w:space="0"/>
            </w:tcBorders>
            <w:noWrap w:val="0"/>
            <w:vAlign w:val="center"/>
          </w:tcPr>
          <w:p w14:paraId="714C564B">
            <w:pPr>
              <w:spacing w:line="240" w:lineRule="auto"/>
              <w:jc w:val="center"/>
              <w:rPr>
                <w:color w:val="auto"/>
                <w:spacing w:val="20"/>
                <w:sz w:val="24"/>
                <w:highlight w:val="none"/>
              </w:rPr>
            </w:pPr>
          </w:p>
        </w:tc>
      </w:tr>
      <w:tr w14:paraId="4D16DC2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noWrap w:val="0"/>
            <w:vAlign w:val="center"/>
          </w:tcPr>
          <w:p w14:paraId="77607AC0">
            <w:pPr>
              <w:spacing w:line="240" w:lineRule="auto"/>
              <w:jc w:val="center"/>
              <w:rPr>
                <w:color w:val="auto"/>
                <w:sz w:val="24"/>
                <w:highlight w:val="none"/>
              </w:rPr>
            </w:pPr>
            <w:r>
              <w:rPr>
                <w:color w:val="auto"/>
                <w:sz w:val="24"/>
                <w:highlight w:val="none"/>
              </w:rPr>
              <w:t>联 系 人</w:t>
            </w:r>
          </w:p>
        </w:tc>
        <w:tc>
          <w:tcPr>
            <w:tcW w:w="2814" w:type="dxa"/>
            <w:tcBorders>
              <w:top w:val="single" w:color="000000" w:sz="2" w:space="0"/>
              <w:left w:val="single" w:color="000000" w:sz="2" w:space="0"/>
              <w:bottom w:val="single" w:color="000000" w:sz="2" w:space="0"/>
              <w:right w:val="single" w:color="000000" w:sz="2" w:space="0"/>
            </w:tcBorders>
            <w:noWrap w:val="0"/>
            <w:vAlign w:val="center"/>
          </w:tcPr>
          <w:p w14:paraId="04CA95B8">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noWrap w:val="0"/>
            <w:vAlign w:val="center"/>
          </w:tcPr>
          <w:p w14:paraId="6982DBD5">
            <w:pPr>
              <w:spacing w:line="240" w:lineRule="auto"/>
              <w:jc w:val="center"/>
              <w:rPr>
                <w:color w:val="auto"/>
                <w:sz w:val="24"/>
                <w:highlight w:val="none"/>
              </w:rPr>
            </w:pPr>
            <w:r>
              <w:rPr>
                <w:color w:val="auto"/>
                <w:sz w:val="24"/>
                <w:highlight w:val="none"/>
              </w:rPr>
              <w:t>联 系 人</w:t>
            </w:r>
          </w:p>
        </w:tc>
        <w:tc>
          <w:tcPr>
            <w:tcW w:w="2471" w:type="dxa"/>
            <w:tcBorders>
              <w:top w:val="single" w:color="000000" w:sz="2" w:space="0"/>
              <w:left w:val="single" w:color="000000" w:sz="2" w:space="0"/>
              <w:bottom w:val="single" w:color="000000" w:sz="2" w:space="0"/>
            </w:tcBorders>
            <w:noWrap w:val="0"/>
            <w:vAlign w:val="center"/>
          </w:tcPr>
          <w:p w14:paraId="344AB06D">
            <w:pPr>
              <w:spacing w:line="240" w:lineRule="auto"/>
              <w:jc w:val="center"/>
              <w:rPr>
                <w:color w:val="auto"/>
                <w:spacing w:val="20"/>
                <w:sz w:val="24"/>
                <w:highlight w:val="none"/>
              </w:rPr>
            </w:pPr>
          </w:p>
        </w:tc>
      </w:tr>
      <w:tr w14:paraId="446EC93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noWrap w:val="0"/>
            <w:vAlign w:val="center"/>
          </w:tcPr>
          <w:p w14:paraId="10EF6746">
            <w:pPr>
              <w:spacing w:line="240" w:lineRule="auto"/>
              <w:jc w:val="center"/>
              <w:rPr>
                <w:color w:val="auto"/>
                <w:sz w:val="24"/>
                <w:highlight w:val="none"/>
              </w:rPr>
            </w:pPr>
            <w:r>
              <w:rPr>
                <w:color w:val="auto"/>
                <w:sz w:val="24"/>
                <w:highlight w:val="none"/>
              </w:rPr>
              <w:t>联系电话</w:t>
            </w:r>
          </w:p>
        </w:tc>
        <w:tc>
          <w:tcPr>
            <w:tcW w:w="2814" w:type="dxa"/>
            <w:tcBorders>
              <w:top w:val="single" w:color="000000" w:sz="2" w:space="0"/>
              <w:left w:val="single" w:color="000000" w:sz="2" w:space="0"/>
              <w:bottom w:val="single" w:color="000000" w:sz="2" w:space="0"/>
              <w:right w:val="single" w:color="000000" w:sz="2" w:space="0"/>
            </w:tcBorders>
            <w:noWrap w:val="0"/>
            <w:vAlign w:val="center"/>
          </w:tcPr>
          <w:p w14:paraId="7F926F96">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noWrap w:val="0"/>
            <w:vAlign w:val="center"/>
          </w:tcPr>
          <w:p w14:paraId="4D86AE72">
            <w:pPr>
              <w:spacing w:line="240" w:lineRule="auto"/>
              <w:jc w:val="center"/>
              <w:rPr>
                <w:color w:val="auto"/>
                <w:sz w:val="24"/>
                <w:highlight w:val="none"/>
              </w:rPr>
            </w:pPr>
            <w:r>
              <w:rPr>
                <w:color w:val="auto"/>
                <w:sz w:val="24"/>
                <w:highlight w:val="none"/>
              </w:rPr>
              <w:t>联系电话</w:t>
            </w:r>
          </w:p>
        </w:tc>
        <w:tc>
          <w:tcPr>
            <w:tcW w:w="2471" w:type="dxa"/>
            <w:tcBorders>
              <w:top w:val="single" w:color="000000" w:sz="2" w:space="0"/>
              <w:left w:val="single" w:color="000000" w:sz="2" w:space="0"/>
              <w:bottom w:val="single" w:color="000000" w:sz="2" w:space="0"/>
            </w:tcBorders>
            <w:noWrap w:val="0"/>
            <w:vAlign w:val="center"/>
          </w:tcPr>
          <w:p w14:paraId="202DE9C1">
            <w:pPr>
              <w:spacing w:line="240" w:lineRule="auto"/>
              <w:jc w:val="center"/>
              <w:rPr>
                <w:color w:val="auto"/>
                <w:spacing w:val="20"/>
                <w:sz w:val="24"/>
                <w:highlight w:val="none"/>
              </w:rPr>
            </w:pPr>
          </w:p>
        </w:tc>
      </w:tr>
      <w:tr w14:paraId="050B889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363" w:hRule="atLeast"/>
        </w:trPr>
        <w:tc>
          <w:tcPr>
            <w:tcW w:w="2206" w:type="dxa"/>
            <w:tcBorders>
              <w:top w:val="single" w:color="000000" w:sz="2" w:space="0"/>
              <w:bottom w:val="single" w:color="000000" w:sz="2" w:space="0"/>
              <w:right w:val="single" w:color="000000" w:sz="2" w:space="0"/>
            </w:tcBorders>
            <w:noWrap w:val="0"/>
            <w:vAlign w:val="center"/>
          </w:tcPr>
          <w:p w14:paraId="2C87FCAE">
            <w:pPr>
              <w:spacing w:line="240" w:lineRule="auto"/>
              <w:jc w:val="center"/>
              <w:rPr>
                <w:color w:val="auto"/>
                <w:sz w:val="24"/>
                <w:highlight w:val="none"/>
              </w:rPr>
            </w:pPr>
            <w:r>
              <w:rPr>
                <w:rFonts w:hint="eastAsia"/>
                <w:color w:val="auto"/>
                <w:sz w:val="24"/>
                <w:highlight w:val="none"/>
              </w:rPr>
              <w:t>通信地址</w:t>
            </w:r>
          </w:p>
        </w:tc>
        <w:tc>
          <w:tcPr>
            <w:tcW w:w="2814" w:type="dxa"/>
            <w:tcBorders>
              <w:top w:val="single" w:color="000000" w:sz="2" w:space="0"/>
              <w:left w:val="single" w:color="000000" w:sz="2" w:space="0"/>
              <w:bottom w:val="single" w:color="000000" w:sz="2" w:space="0"/>
              <w:right w:val="single" w:color="000000" w:sz="2" w:space="0"/>
            </w:tcBorders>
            <w:noWrap w:val="0"/>
            <w:vAlign w:val="center"/>
          </w:tcPr>
          <w:p w14:paraId="609816CA">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noWrap w:val="0"/>
            <w:vAlign w:val="center"/>
          </w:tcPr>
          <w:p w14:paraId="420E2242">
            <w:pPr>
              <w:spacing w:line="240" w:lineRule="auto"/>
              <w:jc w:val="center"/>
              <w:rPr>
                <w:color w:val="auto"/>
                <w:sz w:val="24"/>
                <w:highlight w:val="none"/>
              </w:rPr>
            </w:pPr>
            <w:r>
              <w:rPr>
                <w:rFonts w:hint="eastAsia"/>
                <w:color w:val="auto"/>
                <w:sz w:val="24"/>
                <w:highlight w:val="none"/>
              </w:rPr>
              <w:t>通信地址</w:t>
            </w:r>
          </w:p>
        </w:tc>
        <w:tc>
          <w:tcPr>
            <w:tcW w:w="2471" w:type="dxa"/>
            <w:tcBorders>
              <w:top w:val="single" w:color="000000" w:sz="2" w:space="0"/>
              <w:left w:val="single" w:color="000000" w:sz="2" w:space="0"/>
              <w:bottom w:val="single" w:color="000000" w:sz="2" w:space="0"/>
            </w:tcBorders>
            <w:noWrap w:val="0"/>
            <w:vAlign w:val="center"/>
          </w:tcPr>
          <w:p w14:paraId="482C7D41">
            <w:pPr>
              <w:spacing w:line="240" w:lineRule="auto"/>
              <w:jc w:val="center"/>
              <w:rPr>
                <w:color w:val="auto"/>
                <w:spacing w:val="20"/>
                <w:sz w:val="24"/>
                <w:highlight w:val="none"/>
              </w:rPr>
            </w:pPr>
          </w:p>
        </w:tc>
      </w:tr>
      <w:tr w14:paraId="4AD2736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noWrap w:val="0"/>
            <w:vAlign w:val="center"/>
          </w:tcPr>
          <w:p w14:paraId="3E19A678">
            <w:pPr>
              <w:spacing w:line="240" w:lineRule="auto"/>
              <w:jc w:val="center"/>
              <w:rPr>
                <w:color w:val="auto"/>
                <w:sz w:val="24"/>
                <w:highlight w:val="none"/>
              </w:rPr>
            </w:pPr>
            <w:r>
              <w:rPr>
                <w:color w:val="auto"/>
                <w:sz w:val="24"/>
                <w:highlight w:val="none"/>
              </w:rPr>
              <w:t>邮政编码</w:t>
            </w:r>
          </w:p>
        </w:tc>
        <w:tc>
          <w:tcPr>
            <w:tcW w:w="2814" w:type="dxa"/>
            <w:tcBorders>
              <w:top w:val="single" w:color="000000" w:sz="2" w:space="0"/>
              <w:left w:val="single" w:color="000000" w:sz="2" w:space="0"/>
              <w:bottom w:val="single" w:color="000000" w:sz="2" w:space="0"/>
              <w:right w:val="single" w:color="000000" w:sz="2" w:space="0"/>
            </w:tcBorders>
            <w:noWrap w:val="0"/>
            <w:vAlign w:val="center"/>
          </w:tcPr>
          <w:p w14:paraId="72CA186A">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noWrap w:val="0"/>
            <w:vAlign w:val="center"/>
          </w:tcPr>
          <w:p w14:paraId="3034DDEA">
            <w:pPr>
              <w:spacing w:line="240" w:lineRule="auto"/>
              <w:jc w:val="center"/>
              <w:rPr>
                <w:color w:val="auto"/>
                <w:sz w:val="24"/>
                <w:highlight w:val="none"/>
              </w:rPr>
            </w:pPr>
            <w:r>
              <w:rPr>
                <w:color w:val="auto"/>
                <w:sz w:val="24"/>
                <w:highlight w:val="none"/>
              </w:rPr>
              <w:t>邮政编码</w:t>
            </w:r>
          </w:p>
        </w:tc>
        <w:tc>
          <w:tcPr>
            <w:tcW w:w="2471" w:type="dxa"/>
            <w:tcBorders>
              <w:top w:val="single" w:color="000000" w:sz="2" w:space="0"/>
              <w:left w:val="single" w:color="000000" w:sz="2" w:space="0"/>
              <w:bottom w:val="single" w:color="000000" w:sz="2" w:space="0"/>
            </w:tcBorders>
            <w:noWrap w:val="0"/>
            <w:vAlign w:val="center"/>
          </w:tcPr>
          <w:p w14:paraId="04AD7A8D">
            <w:pPr>
              <w:spacing w:line="240" w:lineRule="auto"/>
              <w:jc w:val="center"/>
              <w:rPr>
                <w:color w:val="auto"/>
                <w:spacing w:val="20"/>
                <w:sz w:val="24"/>
                <w:highlight w:val="none"/>
              </w:rPr>
            </w:pPr>
          </w:p>
        </w:tc>
      </w:tr>
      <w:tr w14:paraId="3BADE81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noWrap w:val="0"/>
            <w:vAlign w:val="center"/>
          </w:tcPr>
          <w:p w14:paraId="2588C373">
            <w:pPr>
              <w:spacing w:line="240" w:lineRule="auto"/>
              <w:jc w:val="center"/>
              <w:rPr>
                <w:color w:val="auto"/>
                <w:sz w:val="24"/>
                <w:highlight w:val="none"/>
              </w:rPr>
            </w:pPr>
            <w:r>
              <w:rPr>
                <w:rFonts w:hint="eastAsia"/>
                <w:color w:val="auto"/>
                <w:sz w:val="24"/>
                <w:highlight w:val="none"/>
              </w:rPr>
              <w:t>电子邮箱</w:t>
            </w:r>
          </w:p>
        </w:tc>
        <w:tc>
          <w:tcPr>
            <w:tcW w:w="2814" w:type="dxa"/>
            <w:tcBorders>
              <w:top w:val="single" w:color="000000" w:sz="2" w:space="0"/>
              <w:left w:val="single" w:color="000000" w:sz="2" w:space="0"/>
              <w:bottom w:val="single" w:color="000000" w:sz="2" w:space="0"/>
              <w:right w:val="single" w:color="000000" w:sz="2" w:space="0"/>
            </w:tcBorders>
            <w:noWrap w:val="0"/>
            <w:vAlign w:val="center"/>
          </w:tcPr>
          <w:p w14:paraId="2BB9AD4B">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noWrap w:val="0"/>
            <w:vAlign w:val="center"/>
          </w:tcPr>
          <w:p w14:paraId="289BDB1F">
            <w:pPr>
              <w:spacing w:line="240" w:lineRule="auto"/>
              <w:jc w:val="center"/>
              <w:rPr>
                <w:color w:val="auto"/>
                <w:sz w:val="24"/>
                <w:highlight w:val="none"/>
              </w:rPr>
            </w:pPr>
            <w:r>
              <w:rPr>
                <w:rFonts w:hint="eastAsia"/>
                <w:color w:val="auto"/>
                <w:sz w:val="24"/>
                <w:highlight w:val="none"/>
              </w:rPr>
              <w:t>电子邮箱</w:t>
            </w:r>
          </w:p>
        </w:tc>
        <w:tc>
          <w:tcPr>
            <w:tcW w:w="2471" w:type="dxa"/>
            <w:tcBorders>
              <w:top w:val="single" w:color="000000" w:sz="2" w:space="0"/>
              <w:left w:val="single" w:color="000000" w:sz="2" w:space="0"/>
              <w:bottom w:val="single" w:color="000000" w:sz="2" w:space="0"/>
            </w:tcBorders>
            <w:noWrap w:val="0"/>
            <w:vAlign w:val="center"/>
          </w:tcPr>
          <w:p w14:paraId="6A868FE9">
            <w:pPr>
              <w:spacing w:line="240" w:lineRule="auto"/>
              <w:jc w:val="center"/>
              <w:rPr>
                <w:color w:val="auto"/>
                <w:spacing w:val="20"/>
                <w:sz w:val="24"/>
                <w:highlight w:val="none"/>
              </w:rPr>
            </w:pPr>
          </w:p>
        </w:tc>
      </w:tr>
      <w:tr w14:paraId="39A5C17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noWrap w:val="0"/>
            <w:vAlign w:val="center"/>
          </w:tcPr>
          <w:p w14:paraId="531929FD">
            <w:pPr>
              <w:spacing w:line="240" w:lineRule="auto"/>
              <w:jc w:val="center"/>
              <w:rPr>
                <w:color w:val="auto"/>
                <w:sz w:val="24"/>
                <w:highlight w:val="none"/>
              </w:rPr>
            </w:pPr>
            <w:r>
              <w:rPr>
                <w:rFonts w:hint="eastAsia"/>
                <w:color w:val="auto"/>
                <w:sz w:val="24"/>
                <w:highlight w:val="none"/>
              </w:rPr>
              <w:t>统一社会信用代码</w:t>
            </w:r>
          </w:p>
        </w:tc>
        <w:tc>
          <w:tcPr>
            <w:tcW w:w="2814" w:type="dxa"/>
            <w:tcBorders>
              <w:top w:val="single" w:color="000000" w:sz="2" w:space="0"/>
              <w:left w:val="single" w:color="000000" w:sz="2" w:space="0"/>
              <w:bottom w:val="single" w:color="000000" w:sz="2" w:space="0"/>
              <w:right w:val="single" w:color="000000" w:sz="2" w:space="0"/>
            </w:tcBorders>
            <w:noWrap w:val="0"/>
            <w:vAlign w:val="center"/>
          </w:tcPr>
          <w:p w14:paraId="00F1C641">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noWrap w:val="0"/>
            <w:vAlign w:val="center"/>
          </w:tcPr>
          <w:p w14:paraId="73D3A925">
            <w:pPr>
              <w:spacing w:line="240" w:lineRule="auto"/>
              <w:jc w:val="center"/>
              <w:rPr>
                <w:color w:val="auto"/>
                <w:sz w:val="24"/>
                <w:highlight w:val="none"/>
              </w:rPr>
            </w:pPr>
            <w:r>
              <w:rPr>
                <w:rFonts w:hint="eastAsia"/>
                <w:color w:val="auto"/>
                <w:sz w:val="24"/>
                <w:highlight w:val="none"/>
              </w:rPr>
              <w:t>统一社会信用代码</w:t>
            </w:r>
          </w:p>
        </w:tc>
        <w:tc>
          <w:tcPr>
            <w:tcW w:w="2471" w:type="dxa"/>
            <w:tcBorders>
              <w:top w:val="single" w:color="000000" w:sz="2" w:space="0"/>
              <w:left w:val="single" w:color="000000" w:sz="2" w:space="0"/>
              <w:bottom w:val="single" w:color="000000" w:sz="2" w:space="0"/>
            </w:tcBorders>
            <w:noWrap w:val="0"/>
            <w:vAlign w:val="center"/>
          </w:tcPr>
          <w:p w14:paraId="087532AA">
            <w:pPr>
              <w:spacing w:line="240" w:lineRule="auto"/>
              <w:jc w:val="center"/>
              <w:rPr>
                <w:color w:val="auto"/>
                <w:spacing w:val="20"/>
                <w:sz w:val="24"/>
                <w:highlight w:val="none"/>
              </w:rPr>
            </w:pPr>
          </w:p>
        </w:tc>
      </w:tr>
      <w:tr w14:paraId="7485543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noWrap w:val="0"/>
            <w:vAlign w:val="center"/>
          </w:tcPr>
          <w:p w14:paraId="7F4CED1E">
            <w:pPr>
              <w:spacing w:line="240" w:lineRule="auto"/>
              <w:jc w:val="center"/>
              <w:rPr>
                <w:color w:val="auto"/>
                <w:sz w:val="24"/>
                <w:highlight w:val="none"/>
              </w:rPr>
            </w:pPr>
          </w:p>
        </w:tc>
        <w:tc>
          <w:tcPr>
            <w:tcW w:w="2814" w:type="dxa"/>
            <w:tcBorders>
              <w:top w:val="single" w:color="000000" w:sz="2" w:space="0"/>
              <w:left w:val="single" w:color="000000" w:sz="2" w:space="0"/>
              <w:bottom w:val="single" w:color="000000" w:sz="2" w:space="0"/>
              <w:right w:val="single" w:color="000000" w:sz="2" w:space="0"/>
            </w:tcBorders>
            <w:noWrap w:val="0"/>
            <w:vAlign w:val="center"/>
          </w:tcPr>
          <w:p w14:paraId="2D54309C">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noWrap w:val="0"/>
            <w:vAlign w:val="center"/>
          </w:tcPr>
          <w:p w14:paraId="36BDB266">
            <w:pPr>
              <w:spacing w:line="240" w:lineRule="auto"/>
              <w:jc w:val="center"/>
              <w:rPr>
                <w:color w:val="auto"/>
                <w:sz w:val="24"/>
                <w:highlight w:val="none"/>
              </w:rPr>
            </w:pPr>
            <w:r>
              <w:rPr>
                <w:color w:val="auto"/>
                <w:sz w:val="24"/>
                <w:highlight w:val="none"/>
              </w:rPr>
              <w:t>开户名称</w:t>
            </w:r>
          </w:p>
        </w:tc>
        <w:tc>
          <w:tcPr>
            <w:tcW w:w="2471" w:type="dxa"/>
            <w:tcBorders>
              <w:top w:val="single" w:color="000000" w:sz="2" w:space="0"/>
              <w:left w:val="single" w:color="000000" w:sz="2" w:space="0"/>
              <w:bottom w:val="single" w:color="000000" w:sz="2" w:space="0"/>
            </w:tcBorders>
            <w:noWrap w:val="0"/>
            <w:vAlign w:val="center"/>
          </w:tcPr>
          <w:p w14:paraId="39104557">
            <w:pPr>
              <w:spacing w:line="240" w:lineRule="auto"/>
              <w:jc w:val="center"/>
              <w:rPr>
                <w:color w:val="auto"/>
                <w:spacing w:val="20"/>
                <w:sz w:val="24"/>
                <w:highlight w:val="none"/>
              </w:rPr>
            </w:pPr>
          </w:p>
        </w:tc>
      </w:tr>
      <w:tr w14:paraId="2C533DF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noWrap w:val="0"/>
            <w:vAlign w:val="center"/>
          </w:tcPr>
          <w:p w14:paraId="5DFFF5BB">
            <w:pPr>
              <w:spacing w:line="240" w:lineRule="auto"/>
              <w:jc w:val="center"/>
              <w:rPr>
                <w:color w:val="auto"/>
                <w:sz w:val="24"/>
                <w:highlight w:val="none"/>
              </w:rPr>
            </w:pPr>
          </w:p>
        </w:tc>
        <w:tc>
          <w:tcPr>
            <w:tcW w:w="2814" w:type="dxa"/>
            <w:tcBorders>
              <w:top w:val="single" w:color="000000" w:sz="2" w:space="0"/>
              <w:left w:val="single" w:color="000000" w:sz="2" w:space="0"/>
              <w:bottom w:val="single" w:color="000000" w:sz="2" w:space="0"/>
              <w:right w:val="single" w:color="000000" w:sz="2" w:space="0"/>
            </w:tcBorders>
            <w:noWrap w:val="0"/>
            <w:vAlign w:val="center"/>
          </w:tcPr>
          <w:p w14:paraId="5DE79C8D">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noWrap w:val="0"/>
            <w:vAlign w:val="center"/>
          </w:tcPr>
          <w:p w14:paraId="366ADC6C">
            <w:pPr>
              <w:spacing w:line="240" w:lineRule="auto"/>
              <w:jc w:val="center"/>
              <w:rPr>
                <w:color w:val="auto"/>
                <w:sz w:val="24"/>
                <w:highlight w:val="none"/>
              </w:rPr>
            </w:pPr>
            <w:r>
              <w:rPr>
                <w:color w:val="auto"/>
                <w:sz w:val="24"/>
                <w:highlight w:val="none"/>
              </w:rPr>
              <w:t>开户银行</w:t>
            </w:r>
          </w:p>
        </w:tc>
        <w:tc>
          <w:tcPr>
            <w:tcW w:w="2471" w:type="dxa"/>
            <w:tcBorders>
              <w:top w:val="single" w:color="000000" w:sz="2" w:space="0"/>
              <w:left w:val="single" w:color="000000" w:sz="2" w:space="0"/>
              <w:bottom w:val="single" w:color="000000" w:sz="2" w:space="0"/>
            </w:tcBorders>
            <w:noWrap w:val="0"/>
            <w:vAlign w:val="center"/>
          </w:tcPr>
          <w:p w14:paraId="737E48A3">
            <w:pPr>
              <w:spacing w:line="240" w:lineRule="auto"/>
              <w:jc w:val="center"/>
              <w:rPr>
                <w:color w:val="auto"/>
                <w:spacing w:val="20"/>
                <w:sz w:val="24"/>
                <w:highlight w:val="none"/>
              </w:rPr>
            </w:pPr>
          </w:p>
        </w:tc>
      </w:tr>
      <w:tr w14:paraId="23E9F34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noWrap w:val="0"/>
            <w:vAlign w:val="center"/>
          </w:tcPr>
          <w:p w14:paraId="324F8657">
            <w:pPr>
              <w:spacing w:line="240" w:lineRule="auto"/>
              <w:jc w:val="center"/>
              <w:rPr>
                <w:color w:val="auto"/>
                <w:sz w:val="24"/>
                <w:highlight w:val="none"/>
              </w:rPr>
            </w:pPr>
          </w:p>
        </w:tc>
        <w:tc>
          <w:tcPr>
            <w:tcW w:w="2814" w:type="dxa"/>
            <w:tcBorders>
              <w:top w:val="single" w:color="000000" w:sz="2" w:space="0"/>
              <w:left w:val="single" w:color="000000" w:sz="2" w:space="0"/>
              <w:bottom w:val="single" w:color="000000" w:sz="2" w:space="0"/>
              <w:right w:val="single" w:color="000000" w:sz="2" w:space="0"/>
            </w:tcBorders>
            <w:noWrap w:val="0"/>
            <w:vAlign w:val="center"/>
          </w:tcPr>
          <w:p w14:paraId="708B50F9">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noWrap w:val="0"/>
            <w:vAlign w:val="center"/>
          </w:tcPr>
          <w:p w14:paraId="3921D34F">
            <w:pPr>
              <w:spacing w:line="240" w:lineRule="auto"/>
              <w:jc w:val="center"/>
              <w:rPr>
                <w:color w:val="auto"/>
                <w:sz w:val="24"/>
                <w:highlight w:val="none"/>
              </w:rPr>
            </w:pPr>
            <w:r>
              <w:rPr>
                <w:color w:val="auto"/>
                <w:sz w:val="24"/>
                <w:highlight w:val="none"/>
              </w:rPr>
              <w:t>银行账号</w:t>
            </w:r>
          </w:p>
        </w:tc>
        <w:tc>
          <w:tcPr>
            <w:tcW w:w="2471" w:type="dxa"/>
            <w:tcBorders>
              <w:top w:val="single" w:color="000000" w:sz="2" w:space="0"/>
              <w:left w:val="single" w:color="000000" w:sz="2" w:space="0"/>
              <w:bottom w:val="single" w:color="000000" w:sz="2" w:space="0"/>
            </w:tcBorders>
            <w:noWrap w:val="0"/>
            <w:vAlign w:val="center"/>
          </w:tcPr>
          <w:p w14:paraId="3796B114">
            <w:pPr>
              <w:spacing w:line="240" w:lineRule="auto"/>
              <w:jc w:val="center"/>
              <w:rPr>
                <w:color w:val="auto"/>
                <w:spacing w:val="20"/>
                <w:sz w:val="24"/>
                <w:highlight w:val="none"/>
              </w:rPr>
            </w:pPr>
          </w:p>
        </w:tc>
      </w:tr>
      <w:tr w14:paraId="5D34E6A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57" w:hRule="atLeast"/>
        </w:trPr>
        <w:tc>
          <w:tcPr>
            <w:tcW w:w="9799" w:type="dxa"/>
            <w:gridSpan w:val="4"/>
            <w:tcBorders>
              <w:top w:val="single" w:color="000000" w:sz="2" w:space="0"/>
            </w:tcBorders>
            <w:noWrap w:val="0"/>
            <w:vAlign w:val="center"/>
          </w:tcPr>
          <w:p w14:paraId="03BE3D43">
            <w:pPr>
              <w:spacing w:line="240" w:lineRule="auto"/>
              <w:jc w:val="left"/>
              <w:rPr>
                <w:color w:val="auto"/>
                <w:spacing w:val="20"/>
                <w:sz w:val="24"/>
                <w:highlight w:val="none"/>
              </w:rPr>
            </w:pPr>
            <w:r>
              <w:rPr>
                <w:rFonts w:hint="eastAsia" w:ascii="宋体" w:hAnsi="宋体"/>
                <w:color w:val="auto"/>
                <w:sz w:val="24"/>
                <w:highlight w:val="none"/>
              </w:rPr>
              <w:t>注：涉及联合体或其他合同主体的信息应按上表格式加列。</w:t>
            </w:r>
          </w:p>
        </w:tc>
      </w:tr>
    </w:tbl>
    <w:p w14:paraId="7ADB1FBB">
      <w:pPr>
        <w:pStyle w:val="3"/>
        <w:spacing w:before="156"/>
        <w:jc w:val="center"/>
        <w:rPr>
          <w:rFonts w:ascii="黑体" w:hAnsi="黑体" w:eastAsia="黑体"/>
          <w:color w:val="auto"/>
          <w:sz w:val="28"/>
          <w:szCs w:val="28"/>
          <w:highlight w:val="none"/>
        </w:rPr>
      </w:pPr>
      <w:r>
        <w:rPr>
          <w:rFonts w:ascii="宋体" w:hAnsi="宋体"/>
          <w:color w:val="auto"/>
          <w:highlight w:val="none"/>
          <w:u w:val="single"/>
        </w:rPr>
        <w:br w:type="page" w:clear="all"/>
      </w:r>
      <w:bookmarkStart w:id="167" w:name="_Toc27624"/>
      <w:bookmarkStart w:id="168" w:name="_Toc20313"/>
      <w:r>
        <w:rPr>
          <w:rFonts w:hint="eastAsia" w:ascii="黑体" w:hAnsi="黑体" w:eastAsia="黑体"/>
          <w:b w:val="0"/>
          <w:bCs w:val="0"/>
          <w:color w:val="auto"/>
          <w:sz w:val="28"/>
          <w:szCs w:val="28"/>
          <w:highlight w:val="none"/>
        </w:rPr>
        <w:t>第二节 政府采购合同通用条款</w:t>
      </w:r>
      <w:bookmarkEnd w:id="167"/>
    </w:p>
    <w:p w14:paraId="06A0A4BB">
      <w:pPr>
        <w:tabs>
          <w:tab w:val="left" w:pos="8820"/>
          <w:tab w:val="left" w:pos="9345"/>
          <w:tab w:val="left" w:pos="9765"/>
        </w:tabs>
        <w:spacing w:line="400" w:lineRule="exact"/>
        <w:jc w:val="left"/>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定义</w:t>
      </w:r>
    </w:p>
    <w:p w14:paraId="578182A2">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1.1合同当事人</w:t>
      </w:r>
    </w:p>
    <w:p w14:paraId="714CB2D0">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（1）采购人（以下称甲方）是指使用财政性资金，通过政府采购方式向供应商购买货物及其相关服务的国家机关、事业单位、团体组织。</w:t>
      </w:r>
    </w:p>
    <w:p w14:paraId="7DA7DAE4">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（2）供应商（以下称乙方）是指参加政府采购活动并且中标（成交），向采购人提供合同约定的货物及其相关服务的法人、非法人组织或者自然人。</w:t>
      </w:r>
    </w:p>
    <w:p w14:paraId="5AE6DA5A">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3C3E11E3">
      <w:pPr>
        <w:tabs>
          <w:tab w:val="left" w:pos="570"/>
          <w:tab w:val="left" w:pos="9240"/>
          <w:tab w:val="left" w:pos="9555"/>
        </w:tabs>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1.2本合同下列术语应解释为：</w:t>
      </w:r>
    </w:p>
    <w:p w14:paraId="0F85E691">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olor w:val="auto"/>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国家法律、行政法规和规章制度规定或合同约定的作为合同组成部分的其他文件</w:t>
      </w:r>
      <w:r>
        <w:rPr>
          <w:rFonts w:hint="eastAsia" w:ascii="宋体" w:hAnsi="宋体"/>
          <w:color w:val="auto"/>
          <w:szCs w:val="21"/>
          <w:highlight w:val="none"/>
        </w:rPr>
        <w:t>。</w:t>
      </w:r>
    </w:p>
    <w:p w14:paraId="4C59F2F4">
      <w:pPr>
        <w:tabs>
          <w:tab w:val="left" w:pos="570"/>
          <w:tab w:val="left" w:pos="9240"/>
          <w:tab w:val="left" w:pos="9555"/>
        </w:tabs>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（2）“合同价款”系指根据本合同规定乙方在全面履行合同义务后甲方应支付给乙方的价款。</w:t>
      </w:r>
    </w:p>
    <w:p w14:paraId="4E74C0AD">
      <w:pPr>
        <w:tabs>
          <w:tab w:val="left" w:pos="570"/>
          <w:tab w:val="left" w:pos="9240"/>
          <w:tab w:val="left" w:pos="9555"/>
        </w:tabs>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（3）“货物”系指乙方根据本合同规定须向甲方提供的各种形态和种类的物品，包括原材料、设备、产品（包括软件）及相关</w:t>
      </w:r>
      <w:r>
        <w:rPr>
          <w:rFonts w:hint="eastAsia" w:ascii="宋体" w:hAnsi="宋体"/>
          <w:color w:val="auto"/>
          <w:szCs w:val="21"/>
          <w:highlight w:val="none"/>
          <w:lang w:eastAsia="zh-CN"/>
        </w:rPr>
        <w:t>的</w:t>
      </w:r>
      <w:r>
        <w:rPr>
          <w:rFonts w:hint="eastAsia" w:ascii="宋体" w:hAnsi="宋体"/>
          <w:color w:val="auto"/>
          <w:szCs w:val="21"/>
          <w:highlight w:val="none"/>
        </w:rPr>
        <w:t>备品备件、工具、手册及</w:t>
      </w:r>
      <w:r>
        <w:rPr>
          <w:rFonts w:hint="eastAsia" w:ascii="宋体" w:hAnsi="宋体"/>
          <w:color w:val="auto"/>
          <w:szCs w:val="21"/>
          <w:highlight w:val="none"/>
          <w:lang w:val="en"/>
        </w:rPr>
        <w:t>其他</w:t>
      </w:r>
      <w:r>
        <w:rPr>
          <w:rFonts w:hint="eastAsia" w:ascii="宋体" w:hAnsi="宋体"/>
          <w:color w:val="auto"/>
          <w:szCs w:val="21"/>
          <w:highlight w:val="none"/>
        </w:rPr>
        <w:t>技术资料和材料等。</w:t>
      </w:r>
    </w:p>
    <w:p w14:paraId="6DD71A60">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（4）“相关服务”系指根据合同规定，乙方应提供的与货物有关的技术、管理和</w:t>
      </w:r>
      <w:r>
        <w:rPr>
          <w:rFonts w:hint="eastAsia" w:ascii="宋体" w:hAnsi="宋体"/>
          <w:color w:val="auto"/>
          <w:szCs w:val="21"/>
          <w:highlight w:val="none"/>
          <w:lang w:val="en"/>
        </w:rPr>
        <w:t>其他</w:t>
      </w:r>
      <w:r>
        <w:rPr>
          <w:rFonts w:hint="eastAsia" w:ascii="宋体" w:hAnsi="宋体"/>
          <w:color w:val="auto"/>
          <w:szCs w:val="21"/>
          <w:highlight w:val="none"/>
        </w:rPr>
        <w:t>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其他</w:t>
      </w:r>
      <w:r>
        <w:rPr>
          <w:rFonts w:hint="eastAsia" w:ascii="宋体" w:hAnsi="宋体"/>
          <w:color w:val="auto"/>
          <w:szCs w:val="21"/>
          <w:highlight w:val="none"/>
        </w:rPr>
        <w:t>义务。</w:t>
      </w:r>
    </w:p>
    <w:p w14:paraId="3F20D6C1">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3B5E2C35">
      <w:pPr>
        <w:tabs>
          <w:tab w:val="left" w:pos="570"/>
          <w:tab w:val="left" w:pos="9240"/>
          <w:tab w:val="left" w:pos="9555"/>
        </w:tabs>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4BCA5A8F">
      <w:pPr>
        <w:tabs>
          <w:tab w:val="left" w:pos="570"/>
          <w:tab w:val="left" w:pos="9240"/>
          <w:tab w:val="left" w:pos="9555"/>
        </w:tabs>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（7）其他术语解释，见【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1AB03401">
      <w:pPr>
        <w:numPr>
          <w:ilvl w:val="0"/>
          <w:numId w:val="3"/>
        </w:numPr>
        <w:spacing w:line="400" w:lineRule="exact"/>
        <w:jc w:val="left"/>
        <w:rPr>
          <w:rFonts w:hint="eastAsia" w:ascii="宋体" w:hAnsi="宋体"/>
          <w:b/>
          <w:bCs/>
          <w:color w:val="auto"/>
          <w:sz w:val="24"/>
          <w:highlight w:val="none"/>
        </w:rPr>
      </w:pPr>
      <w:r>
        <w:rPr>
          <w:rFonts w:hint="eastAsia" w:ascii="宋体" w:hAnsi="宋体"/>
          <w:b/>
          <w:color w:val="auto"/>
          <w:sz w:val="24"/>
          <w:highlight w:val="none"/>
        </w:rPr>
        <w:t>合同标的及金额</w:t>
      </w:r>
    </w:p>
    <w:p w14:paraId="6B953821">
      <w:pPr>
        <w:spacing w:line="400" w:lineRule="exact"/>
        <w:ind w:firstLine="420"/>
        <w:jc w:val="left"/>
        <w:rPr>
          <w:rFonts w:hint="eastAsia" w:ascii="宋体" w:hAnsi="宋体"/>
          <w:b/>
          <w:bCs/>
          <w:i/>
          <w:iCs/>
          <w:color w:val="auto"/>
          <w:szCs w:val="21"/>
          <w:highlight w:val="none"/>
        </w:rPr>
      </w:pPr>
      <w:r>
        <w:rPr>
          <w:rFonts w:hint="eastAsia" w:ascii="宋体" w:hAnsi="宋体"/>
          <w:color w:val="auto"/>
          <w:szCs w:val="21"/>
          <w:highlight w:val="none"/>
        </w:rPr>
        <w:t>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其他</w:t>
      </w:r>
      <w:r>
        <w:rPr>
          <w:rFonts w:hint="eastAsia" w:ascii="宋体" w:hAnsi="宋体"/>
          <w:color w:val="auto"/>
          <w:szCs w:val="21"/>
          <w:highlight w:val="none"/>
        </w:rPr>
        <w:t>任何费用。</w:t>
      </w:r>
    </w:p>
    <w:p w14:paraId="32F72DD7">
      <w:pPr>
        <w:spacing w:line="400" w:lineRule="exact"/>
        <w:jc w:val="left"/>
        <w:rPr>
          <w:rFonts w:hint="eastAsia" w:ascii="宋体" w:hAnsi="宋体"/>
          <w:b/>
          <w:color w:val="auto"/>
          <w:sz w:val="24"/>
          <w:highlight w:val="none"/>
        </w:rPr>
      </w:pPr>
      <w:r>
        <w:rPr>
          <w:rFonts w:hint="eastAsia" w:ascii="宋体" w:hAnsi="宋体"/>
          <w:b/>
          <w:color w:val="auto"/>
          <w:sz w:val="24"/>
          <w:highlight w:val="none"/>
        </w:rPr>
        <w:t>3. 履行合同的时间、地点和方式</w:t>
      </w:r>
    </w:p>
    <w:p w14:paraId="6FFC0911">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乙方应当在约定的时间、地点，按照约定方式履行合同。</w:t>
      </w:r>
    </w:p>
    <w:p w14:paraId="3EAA7944">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4. 甲方的权利和义务</w:t>
      </w:r>
    </w:p>
    <w:p w14:paraId="0C322F04">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23464C80">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5079EA10">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4.3 甲方有权要求乙方对缺陷部分予以修复，并按合同约定享有货物保修及其他合同约定的权利。</w:t>
      </w:r>
    </w:p>
    <w:p w14:paraId="0F47173E">
      <w:pPr>
        <w:spacing w:line="400" w:lineRule="exact"/>
        <w:ind w:firstLine="420"/>
        <w:rPr>
          <w:rFonts w:hint="eastAsia" w:eastAsia="华文楷体"/>
          <w:color w:val="auto"/>
          <w:highlight w:val="none"/>
        </w:rPr>
      </w:pPr>
      <w:r>
        <w:rPr>
          <w:rFonts w:hint="eastAsia" w:ascii="宋体" w:hAnsi="宋体"/>
          <w:color w:val="auto"/>
          <w:szCs w:val="21"/>
          <w:highlight w:val="none"/>
        </w:rPr>
        <w:t>4.4 甲方应当按照合同约定及时对交付的货物进行验收，</w:t>
      </w:r>
      <w:r>
        <w:rPr>
          <w:rFonts w:hint="eastAsia" w:ascii="宋体" w:hAnsi="宋体" w:cs="宋体"/>
          <w:color w:val="auto"/>
          <w:szCs w:val="21"/>
          <w:highlight w:val="none"/>
        </w:rPr>
        <w:t>未</w:t>
      </w:r>
      <w:r>
        <w:rPr>
          <w:rFonts w:hint="eastAsia" w:ascii="宋体" w:hAnsi="宋体"/>
          <w:color w:val="auto"/>
          <w:szCs w:val="21"/>
          <w:highlight w:val="none"/>
        </w:rPr>
        <w:t>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w:t>
      </w:r>
      <w:r>
        <w:rPr>
          <w:rFonts w:hint="eastAsia" w:ascii="宋体" w:hAnsi="宋体"/>
          <w:color w:val="auto"/>
          <w:szCs w:val="21"/>
          <w:highlight w:val="none"/>
        </w:rPr>
        <w:t>视为验收通过。</w:t>
      </w:r>
    </w:p>
    <w:p w14:paraId="00EB849F">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4.5 甲方应当根据合同约定及时向乙方支付合同价款，不得以内部人员变更、履行内部付款流程等为由，拒绝或迟延支付。</w:t>
      </w:r>
    </w:p>
    <w:p w14:paraId="0642E83F">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4.6 国家法律法规规定及</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约定应由甲方承担的其他义务和责任。</w:t>
      </w:r>
    </w:p>
    <w:p w14:paraId="3798154F">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5. 乙方的权利和义务</w:t>
      </w:r>
    </w:p>
    <w:p w14:paraId="7C7151C4">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5.1 签署合同后，乙方应确定项目负责人（或项目联系人），负责与本合同有关的事务。</w:t>
      </w:r>
    </w:p>
    <w:p w14:paraId="78B95660">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CEF5348">
      <w:pPr>
        <w:pStyle w:val="15"/>
        <w:spacing w:after="0" w:line="400" w:lineRule="exact"/>
        <w:ind w:firstLine="369"/>
        <w:rPr>
          <w:rFonts w:hint="eastAsia" w:ascii="宋体" w:hAnsi="宋体" w:cs="宋体"/>
          <w:color w:val="auto"/>
          <w:szCs w:val="21"/>
          <w:highlight w:val="none"/>
        </w:rPr>
      </w:pPr>
      <w:r>
        <w:rPr>
          <w:rFonts w:hint="eastAsia" w:ascii="宋体" w:hAnsi="宋体"/>
          <w:color w:val="auto"/>
          <w:szCs w:val="21"/>
          <w:highlight w:val="none"/>
        </w:rPr>
        <w:t>5.3乙方有权</w:t>
      </w:r>
      <w:r>
        <w:rPr>
          <w:rFonts w:hint="eastAsia" w:ascii="宋体" w:hAnsi="宋体" w:cs="宋体"/>
          <w:color w:val="auto"/>
          <w:szCs w:val="21"/>
          <w:highlight w:val="none"/>
        </w:rPr>
        <w:t>根据合同约定向甲方收取合同价款。</w:t>
      </w:r>
    </w:p>
    <w:p w14:paraId="2E026531">
      <w:pPr>
        <w:pStyle w:val="15"/>
        <w:spacing w:after="0" w:line="400" w:lineRule="exact"/>
        <w:ind w:firstLine="369"/>
        <w:rPr>
          <w:rFonts w:hint="eastAsia" w:ascii="宋体" w:hAnsi="宋体" w:cs="宋体"/>
          <w:color w:val="auto"/>
          <w:szCs w:val="21"/>
          <w:highlight w:val="none"/>
        </w:rPr>
      </w:pPr>
      <w:r>
        <w:rPr>
          <w:rFonts w:hint="eastAsia" w:ascii="宋体" w:hAnsi="宋体"/>
          <w:color w:val="auto"/>
          <w:szCs w:val="21"/>
          <w:highlight w:val="none"/>
        </w:rPr>
        <w:t>5.4</w:t>
      </w:r>
      <w:r>
        <w:rPr>
          <w:rFonts w:hint="eastAsia" w:ascii="宋体" w:hAnsi="宋体" w:cs="宋体"/>
          <w:color w:val="auto"/>
          <w:szCs w:val="21"/>
          <w:highlight w:val="none"/>
        </w:rPr>
        <w:t>国家法律法规规定</w:t>
      </w:r>
      <w:r>
        <w:rPr>
          <w:rFonts w:hint="eastAsia" w:ascii="宋体" w:hAnsi="宋体"/>
          <w:color w:val="auto"/>
          <w:szCs w:val="21"/>
          <w:highlight w:val="none"/>
        </w:rPr>
        <w:t>及</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约定应由乙方承担的其他义务和责任。</w:t>
      </w:r>
    </w:p>
    <w:p w14:paraId="11D87AEC">
      <w:pPr>
        <w:numPr>
          <w:ilvl w:val="0"/>
          <w:numId w:val="4"/>
        </w:num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合同履行</w:t>
      </w:r>
    </w:p>
    <w:p w14:paraId="7B7D51AD">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6.1 甲乙双方应当按照</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754BE08A">
      <w:pPr>
        <w:spacing w:line="400" w:lineRule="exact"/>
        <w:ind w:firstLine="420"/>
        <w:jc w:val="left"/>
        <w:rPr>
          <w:rFonts w:hint="eastAsia"/>
          <w:color w:val="auto"/>
          <w:highlight w:val="none"/>
        </w:rPr>
      </w:pPr>
      <w:r>
        <w:rPr>
          <w:rFonts w:hint="eastAsia" w:ascii="宋体" w:hAnsi="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C213F90">
      <w:pPr>
        <w:spacing w:line="400" w:lineRule="exact"/>
        <w:jc w:val="left"/>
        <w:rPr>
          <w:rFonts w:ascii="宋体" w:hAnsi="宋体"/>
          <w:b/>
          <w:bCs/>
          <w:color w:val="auto"/>
          <w:sz w:val="24"/>
          <w:highlight w:val="none"/>
        </w:rPr>
      </w:pPr>
      <w:r>
        <w:rPr>
          <w:rFonts w:hint="eastAsia" w:ascii="宋体" w:hAnsi="宋体"/>
          <w:b/>
          <w:bCs/>
          <w:color w:val="auto"/>
          <w:sz w:val="24"/>
          <w:highlight w:val="none"/>
        </w:rPr>
        <w:t>7. 货物包装、运输、保险和交付要求</w:t>
      </w:r>
    </w:p>
    <w:p w14:paraId="11E80872">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7.1 本合同</w:t>
      </w:r>
      <w:r>
        <w:rPr>
          <w:rFonts w:hint="eastAsia" w:ascii="宋体" w:hAnsi="宋体"/>
          <w:bCs/>
          <w:color w:val="auto"/>
          <w:szCs w:val="21"/>
          <w:highlight w:val="none"/>
        </w:rPr>
        <w:t>涉及商品包装、快递包装的，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Cs/>
          <w:color w:val="auto"/>
          <w:szCs w:val="21"/>
          <w:highlight w:val="none"/>
        </w:rPr>
        <w:t>约定的</w:t>
      </w:r>
      <w:r>
        <w:rPr>
          <w:rFonts w:hint="eastAsia" w:ascii="宋体" w:hAnsi="宋体"/>
          <w:color w:val="auto"/>
          <w:szCs w:val="21"/>
          <w:highlight w:val="none"/>
        </w:rPr>
        <w:t>指定现场。</w:t>
      </w:r>
    </w:p>
    <w:p w14:paraId="720F704B">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7.2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乙方负责办理将货物运抵本合同规定的交货地点，并装卸、交付至甲方的一切运输事项，相关费用应包含在合同价款中。</w:t>
      </w:r>
    </w:p>
    <w:p w14:paraId="46AADA60">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7.3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22355289">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8EB2544">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乙方在运输到达之前应提前通知甲方，并提示货物运输装卸的注意事项，甲方配合乙方做好货物的接收工作。</w:t>
      </w:r>
    </w:p>
    <w:p w14:paraId="5CDD6375">
      <w:pPr>
        <w:pStyle w:val="192"/>
        <w:ind w:firstLine="420"/>
        <w:rPr>
          <w:rFonts w:hint="eastAsia"/>
          <w:color w:val="auto"/>
          <w:sz w:val="21"/>
          <w:highlight w:val="none"/>
        </w:rPr>
      </w:pPr>
      <w:r>
        <w:rPr>
          <w:rFonts w:hint="eastAsia" w:ascii="宋体" w:hAnsi="宋体" w:eastAsia="宋体" w:cs="Times New Roman"/>
          <w:color w:val="auto"/>
          <w:sz w:val="21"/>
          <w:highlight w:val="none"/>
        </w:rPr>
        <w:t>7.6 如因包装、运输问题导致货物损毁、丢失或者品质下降，甲方有权要求降价、换货、拒收部分或整批货物，由此产生的费用和损失，均由乙方承担。</w:t>
      </w:r>
    </w:p>
    <w:p w14:paraId="691ED545">
      <w:pPr>
        <w:spacing w:line="400" w:lineRule="exact"/>
        <w:jc w:val="left"/>
        <w:rPr>
          <w:rFonts w:hint="eastAsia" w:ascii="宋体" w:hAnsi="宋体"/>
          <w:b/>
          <w:color w:val="auto"/>
          <w:sz w:val="24"/>
          <w:highlight w:val="none"/>
        </w:rPr>
      </w:pPr>
      <w:r>
        <w:rPr>
          <w:rFonts w:hint="eastAsia" w:ascii="宋体" w:hAnsi="宋体"/>
          <w:b/>
          <w:color w:val="auto"/>
          <w:sz w:val="24"/>
          <w:highlight w:val="none"/>
        </w:rPr>
        <w:t>8. 质量标准和保证</w:t>
      </w:r>
    </w:p>
    <w:p w14:paraId="2E422717">
      <w:pPr>
        <w:pStyle w:val="20"/>
        <w:spacing w:line="400" w:lineRule="exact"/>
        <w:ind w:firstLine="420"/>
        <w:jc w:val="left"/>
        <w:rPr>
          <w:rFonts w:hint="eastAsia" w:hAnsi="宋体"/>
          <w:b/>
          <w:color w:val="auto"/>
          <w:highlight w:val="none"/>
        </w:rPr>
      </w:pPr>
      <w:r>
        <w:rPr>
          <w:rFonts w:hint="eastAsia" w:hAnsi="宋体"/>
          <w:color w:val="auto"/>
          <w:highlight w:val="none"/>
        </w:rPr>
        <w:t>8.1 质量标准</w:t>
      </w:r>
    </w:p>
    <w:p w14:paraId="741749A3">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（1）本合同下提供的货物应符合合同</w:t>
      </w:r>
      <w:r>
        <w:rPr>
          <w:rFonts w:hint="eastAsia" w:ascii="宋体" w:hAnsi="宋体" w:cs="宋体"/>
          <w:color w:val="auto"/>
          <w:szCs w:val="21"/>
          <w:highlight w:val="none"/>
        </w:rPr>
        <w:t>约定的品牌、规格型号、技术性能、配置、质量、数量等要求。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CFB793A">
      <w:pPr>
        <w:pStyle w:val="20"/>
        <w:spacing w:line="400" w:lineRule="exact"/>
        <w:ind w:firstLine="420"/>
        <w:jc w:val="left"/>
        <w:rPr>
          <w:rFonts w:hint="eastAsia" w:hAnsi="宋体"/>
          <w:color w:val="auto"/>
          <w:highlight w:val="none"/>
        </w:rPr>
      </w:pPr>
      <w:r>
        <w:rPr>
          <w:rFonts w:hint="eastAsia" w:hAnsi="宋体"/>
          <w:color w:val="auto"/>
          <w:highlight w:val="none"/>
        </w:rPr>
        <w:t>（2）采用中华人民共和国法定计量单位。</w:t>
      </w:r>
    </w:p>
    <w:p w14:paraId="7DD84A5F">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（3）乙方所提供的货物应符合国家有关安全、环保、卫生的规定。</w:t>
      </w:r>
    </w:p>
    <w:p w14:paraId="6A08BC72">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7CC1026C">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8.2 保证</w:t>
      </w:r>
    </w:p>
    <w:p w14:paraId="28B0FFF4">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rPr>
        <w:t>在其使用寿命期内具备合同约定的性能</w:t>
      </w:r>
      <w:r>
        <w:rPr>
          <w:rFonts w:hint="eastAsia" w:ascii="宋体" w:hAnsi="宋体"/>
          <w:color w:val="auto"/>
          <w:szCs w:val="21"/>
          <w:highlight w:val="none"/>
        </w:rPr>
        <w:t>。存在质量保证期的，货物最终交付验收合格后在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规定或乙方书面承诺（两者以较长的为准）的质量保证期内，本保证保持有效。</w:t>
      </w:r>
    </w:p>
    <w:p w14:paraId="3810C6C3">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7C0BDFA1">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（3）乙方收到通知后，应在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79FB15FE">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288C530D">
      <w:pPr>
        <w:spacing w:line="400" w:lineRule="exact"/>
        <w:ind w:firstLine="420"/>
        <w:jc w:val="left"/>
        <w:rPr>
          <w:rFonts w:hint="eastAsia"/>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（5）乙方在约定的时间内未能弥补缺陷，甲方可采取必要的补救措施，但其风险和费用将由乙方承担，甲方根据合同约定对乙方行使的其他权利不受影响。</w:t>
      </w:r>
    </w:p>
    <w:p w14:paraId="45D0713C">
      <w:pPr>
        <w:spacing w:line="400" w:lineRule="exact"/>
        <w:jc w:val="left"/>
        <w:rPr>
          <w:rFonts w:ascii="宋体" w:hAnsi="宋体"/>
          <w:b/>
          <w:bCs/>
          <w:color w:val="auto"/>
          <w:sz w:val="24"/>
          <w:highlight w:val="none"/>
        </w:rPr>
      </w:pPr>
      <w:r>
        <w:rPr>
          <w:rFonts w:hint="eastAsia" w:ascii="宋体" w:hAnsi="宋体"/>
          <w:b/>
          <w:bCs/>
          <w:color w:val="auto"/>
          <w:sz w:val="24"/>
          <w:highlight w:val="none"/>
        </w:rPr>
        <w:t>9. 权利瑕疵担保</w:t>
      </w:r>
    </w:p>
    <w:p w14:paraId="107A171F">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9.1 乙方保证对其出售的货物享有合法的权利。</w:t>
      </w:r>
    </w:p>
    <w:p w14:paraId="33555369">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乙方保证在交付的货物上不存在抵押权等担保物权。</w:t>
      </w:r>
    </w:p>
    <w:p w14:paraId="1A2AA07D">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9.3 如甲方使用上述货物构成对第三人侵权的，则由乙方承担全部责任。</w:t>
      </w:r>
    </w:p>
    <w:p w14:paraId="25BF270C">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10. 知识产权保护</w:t>
      </w:r>
    </w:p>
    <w:p w14:paraId="24425D06">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10.1 乙方对其所销售的货物应当享有知识产权或经权利人合法授权，保证没有侵犯任何第三人的知识产权等权利。</w:t>
      </w:r>
      <w:bookmarkStart w:id="169" w:name="_Hlk163047038"/>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169"/>
      <w:r>
        <w:rPr>
          <w:rFonts w:hint="eastAsia" w:ascii="宋体" w:hAnsi="宋体"/>
          <w:color w:val="auto"/>
          <w:szCs w:val="21"/>
          <w:highlight w:val="none"/>
        </w:rPr>
        <w:t>。</w:t>
      </w:r>
    </w:p>
    <w:p w14:paraId="0D3CC4FC">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11. 保密义务</w:t>
      </w:r>
    </w:p>
    <w:p w14:paraId="622D109D">
      <w:pPr>
        <w:spacing w:line="400" w:lineRule="exact"/>
        <w:ind w:firstLine="420"/>
        <w:jc w:val="left"/>
        <w:rPr>
          <w:rFonts w:hint="eastAsia" w:ascii="宋体" w:hAnsi="宋体" w:cs="宋体"/>
          <w:color w:val="auto"/>
          <w:szCs w:val="15"/>
          <w:highlight w:val="none"/>
        </w:rPr>
      </w:pPr>
      <w:r>
        <w:rPr>
          <w:rFonts w:hint="eastAsia" w:ascii="宋体" w:hAnsi="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2C6FE23F">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12. 合同价款支付</w:t>
      </w:r>
    </w:p>
    <w:p w14:paraId="410D7A07">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12.1 合同价款支付按照国库集中支付制度及财政管理相关规定执行。</w:t>
      </w:r>
    </w:p>
    <w:p w14:paraId="122E8003">
      <w:pPr>
        <w:pStyle w:val="3"/>
        <w:spacing w:line="400" w:lineRule="exact"/>
        <w:ind w:firstLine="420"/>
        <w:rPr>
          <w:rFonts w:hint="eastAsia"/>
          <w:color w:val="auto"/>
          <w:highlight w:val="none"/>
        </w:rPr>
      </w:pPr>
      <w:r>
        <w:rPr>
          <w:rFonts w:hint="eastAsia" w:ascii="宋体" w:hAnsi="宋体"/>
          <w:b w:val="0"/>
          <w:bCs w:val="0"/>
          <w:color w:val="auto"/>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highlight w:val="none"/>
        </w:rPr>
        <w:t>政府采购合同专用条款</w:t>
      </w:r>
      <w:r>
        <w:rPr>
          <w:rFonts w:hint="eastAsia" w:ascii="宋体" w:hAnsi="宋体"/>
          <w:b w:val="0"/>
          <w:bCs w:val="0"/>
          <w:color w:val="auto"/>
          <w:sz w:val="21"/>
          <w:szCs w:val="21"/>
          <w:highlight w:val="none"/>
        </w:rPr>
        <w:t>】中约定。</w:t>
      </w:r>
    </w:p>
    <w:p w14:paraId="3EDDEB80">
      <w:pPr>
        <w:pStyle w:val="15"/>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13. 履约保证金</w:t>
      </w:r>
    </w:p>
    <w:p w14:paraId="04B27E4C">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乙方应当以支票、汇票、本票或者金融机构、担保机构出具的保函等非现金形式提交。</w:t>
      </w:r>
    </w:p>
    <w:p w14:paraId="6B1A314F">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13.2 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482D2DD8">
      <w:pPr>
        <w:spacing w:line="400" w:lineRule="exact"/>
        <w:ind w:firstLine="420"/>
        <w:rPr>
          <w:rFonts w:hint="eastAsia"/>
          <w:color w:val="auto"/>
          <w:highlight w:val="none"/>
        </w:rPr>
      </w:pPr>
      <w:r>
        <w:rPr>
          <w:rFonts w:hint="eastAsia" w:ascii="宋体" w:hAnsi="宋体"/>
          <w:color w:val="auto"/>
          <w:szCs w:val="21"/>
          <w:highlight w:val="none"/>
        </w:rPr>
        <w:t>13.3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6D40611E">
      <w:pPr>
        <w:spacing w:line="400" w:lineRule="exact"/>
        <w:jc w:val="lef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售后</w:t>
      </w:r>
      <w:r>
        <w:rPr>
          <w:rFonts w:hint="eastAsia" w:ascii="宋体" w:hAnsi="宋体"/>
          <w:b/>
          <w:color w:val="auto"/>
          <w:sz w:val="24"/>
          <w:highlight w:val="none"/>
        </w:rPr>
        <w:t>服务</w:t>
      </w:r>
    </w:p>
    <w:p w14:paraId="40EC554E">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14.1 除项目不涉及或采购活动中明确约定无须承担外，乙方还应提供下列服务：</w:t>
      </w:r>
    </w:p>
    <w:p w14:paraId="1EE4A811">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1E7EE3D2">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756A4B2E">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（3）在</w:t>
      </w:r>
      <w:r>
        <w:rPr>
          <w:rFonts w:hint="eastAsia" w:ascii="宋体" w:hAnsi="宋体" w:cs="宋体"/>
          <w:b/>
          <w:bCs/>
          <w:color w:val="auto"/>
          <w:szCs w:val="15"/>
          <w:highlight w:val="none"/>
        </w:rPr>
        <w:t>【政府采购合同专用条款】</w:t>
      </w:r>
      <w:r>
        <w:rPr>
          <w:rFonts w:hint="eastAsia" w:ascii="宋体" w:hAnsi="宋体"/>
          <w:color w:val="auto"/>
          <w:szCs w:val="21"/>
          <w:highlight w:val="none"/>
        </w:rPr>
        <w:t>约定的期限内对所有的货物实施运行监督、维修，但前提条件是该服务并不能免除乙方在质量保证期内所承担的义务；</w:t>
      </w:r>
    </w:p>
    <w:p w14:paraId="67CF0C4E">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7C572802">
      <w:pPr>
        <w:pStyle w:val="19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70CC6407">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（6）</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3FE003B2">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14.2 乙方提供的售后服务的费用已包含在合同价款中，甲方不再另行支付。</w:t>
      </w:r>
    </w:p>
    <w:p w14:paraId="7B9FF82E">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15. 违约责任</w:t>
      </w:r>
    </w:p>
    <w:p w14:paraId="26BCE99C">
      <w:pPr>
        <w:spacing w:line="400" w:lineRule="exact"/>
        <w:ind w:firstLine="420"/>
        <w:jc w:val="left"/>
        <w:rPr>
          <w:rFonts w:hint="eastAsia" w:ascii="宋体" w:hAnsi="宋体"/>
          <w:bCs/>
          <w:color w:val="auto"/>
          <w:szCs w:val="21"/>
          <w:highlight w:val="none"/>
        </w:rPr>
      </w:pPr>
      <w:r>
        <w:rPr>
          <w:rFonts w:hint="eastAsia" w:ascii="宋体" w:hAnsi="宋体"/>
          <w:bCs/>
          <w:color w:val="auto"/>
          <w:szCs w:val="21"/>
          <w:highlight w:val="none"/>
        </w:rPr>
        <w:t>15.1质量瑕疵的违约责任</w:t>
      </w:r>
    </w:p>
    <w:p w14:paraId="298FAF5E">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乙方提供的产品不符合合同约定的质量标准或存在产品质量缺陷，甲方有权要求乙方根据</w:t>
      </w:r>
      <w:r>
        <w:rPr>
          <w:rFonts w:hint="eastAsia" w:ascii="宋体" w:hAnsi="宋体"/>
          <w:b/>
          <w:color w:val="auto"/>
          <w:szCs w:val="21"/>
          <w:highlight w:val="none"/>
        </w:rPr>
        <w:t>【政府采购合同专用条款】</w:t>
      </w:r>
      <w:r>
        <w:rPr>
          <w:rFonts w:hint="eastAsia" w:ascii="宋体" w:hAnsi="宋体"/>
          <w:bCs/>
          <w:color w:val="auto"/>
          <w:szCs w:val="21"/>
          <w:highlight w:val="none"/>
        </w:rPr>
        <w:t>要求</w:t>
      </w:r>
      <w:r>
        <w:rPr>
          <w:rFonts w:hint="eastAsia" w:ascii="宋体" w:hAnsi="宋体"/>
          <w:color w:val="auto"/>
          <w:szCs w:val="21"/>
          <w:highlight w:val="none"/>
        </w:rPr>
        <w:t>及时修理、重作、更换，并承担由此给甲方造成的损失。</w:t>
      </w:r>
    </w:p>
    <w:p w14:paraId="0377E5E8">
      <w:pPr>
        <w:spacing w:line="400" w:lineRule="exact"/>
        <w:ind w:firstLine="420"/>
        <w:jc w:val="left"/>
        <w:rPr>
          <w:rFonts w:hint="eastAsia" w:ascii="宋体" w:hAnsi="宋体"/>
          <w:bCs/>
          <w:color w:val="auto"/>
          <w:szCs w:val="21"/>
          <w:highlight w:val="none"/>
        </w:rPr>
      </w:pPr>
      <w:r>
        <w:rPr>
          <w:rFonts w:hint="eastAsia" w:ascii="宋体" w:hAnsi="宋体"/>
          <w:bCs/>
          <w:color w:val="auto"/>
          <w:szCs w:val="21"/>
          <w:highlight w:val="none"/>
        </w:rPr>
        <w:t>15.2 迟延交货的违约责任</w:t>
      </w:r>
    </w:p>
    <w:p w14:paraId="03E8D314">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F70DDDC">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规定执行。如果涉及公共利益，且赔偿金额无法弥补公共利益损失，甲方可要求继续履行或者采取其他补救措施。</w:t>
      </w:r>
    </w:p>
    <w:p w14:paraId="4183A058">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15.3 迟延支付的违约责任</w:t>
      </w:r>
    </w:p>
    <w:p w14:paraId="286E675B">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6B0706F6">
      <w:pPr>
        <w:spacing w:line="400" w:lineRule="exact"/>
        <w:ind w:firstLine="420"/>
        <w:jc w:val="left"/>
        <w:rPr>
          <w:rFonts w:hint="eastAsia" w:ascii="宋体" w:hAnsi="宋体"/>
          <w:color w:val="auto"/>
          <w:szCs w:val="21"/>
          <w:highlight w:val="none"/>
        </w:rPr>
      </w:pPr>
      <w:r>
        <w:rPr>
          <w:rFonts w:hint="eastAsia" w:ascii="宋体" w:hAnsi="宋体"/>
          <w:bCs/>
          <w:color w:val="auto"/>
          <w:szCs w:val="21"/>
          <w:highlight w:val="none"/>
        </w:rPr>
        <w:t>15.4其他违约责任根据项目实际需要按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3498D9C2">
      <w:pPr>
        <w:numPr>
          <w:ilvl w:val="0"/>
          <w:numId w:val="5"/>
        </w:numPr>
        <w:spacing w:line="400" w:lineRule="exact"/>
        <w:jc w:val="left"/>
        <w:rPr>
          <w:rFonts w:hint="eastAsia" w:ascii="宋体" w:hAnsi="宋体"/>
          <w:b/>
          <w:color w:val="auto"/>
          <w:sz w:val="24"/>
          <w:highlight w:val="none"/>
        </w:rPr>
      </w:pPr>
      <w:r>
        <w:rPr>
          <w:rFonts w:hint="eastAsia" w:ascii="宋体" w:hAnsi="宋体"/>
          <w:b/>
          <w:color w:val="auto"/>
          <w:sz w:val="24"/>
          <w:highlight w:val="none"/>
        </w:rPr>
        <w:t>合同变更、中止与终止</w:t>
      </w:r>
    </w:p>
    <w:p w14:paraId="5AFDECF5">
      <w:pPr>
        <w:spacing w:line="400" w:lineRule="exact"/>
        <w:jc w:val="left"/>
        <w:rPr>
          <w:rFonts w:hint="eastAsia" w:ascii="宋体" w:hAnsi="宋体"/>
          <w:color w:val="auto"/>
          <w:szCs w:val="21"/>
          <w:highlight w:val="none"/>
        </w:rPr>
      </w:pPr>
      <w:r>
        <w:rPr>
          <w:rFonts w:hint="eastAsia" w:ascii="宋体" w:hAnsi="宋体"/>
          <w:color w:val="auto"/>
          <w:szCs w:val="21"/>
          <w:highlight w:val="none"/>
        </w:rPr>
        <w:t xml:space="preserve">    16.1合同的变更</w:t>
      </w:r>
    </w:p>
    <w:p w14:paraId="3D26175E">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3908C500">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16.2合同的中止</w:t>
      </w:r>
    </w:p>
    <w:p w14:paraId="246861FA">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（1）合同履行过程中因供应商就采购文件、采购过程或结果提起投诉的，甲方认为有必要的，可以中止合同的履行。</w:t>
      </w:r>
    </w:p>
    <w:p w14:paraId="3F3E869A">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D75790A">
      <w:pPr>
        <w:pStyle w:val="192"/>
        <w:ind w:firstLine="420"/>
        <w:jc w:val="both"/>
        <w:rPr>
          <w:rFonts w:hint="eastAsia"/>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3B15C835">
      <w:pPr>
        <w:spacing w:line="400" w:lineRule="exact"/>
        <w:ind w:firstLine="420"/>
        <w:jc w:val="left"/>
        <w:rPr>
          <w:rFonts w:hint="eastAsia"/>
          <w:color w:val="auto"/>
          <w:highlight w:val="none"/>
        </w:rPr>
      </w:pPr>
      <w:r>
        <w:rPr>
          <w:rFonts w:hint="eastAsia" w:ascii="宋体" w:hAnsi="宋体"/>
          <w:color w:val="auto"/>
          <w:szCs w:val="21"/>
          <w:highlight w:val="none"/>
        </w:rPr>
        <w:t>（4）甲方不得以行政区划调整、政府换届、机构或者职能调整以及相关责任人更替为由中止合同。</w:t>
      </w:r>
    </w:p>
    <w:p w14:paraId="49D28905">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16.3合同的终止</w:t>
      </w:r>
    </w:p>
    <w:p w14:paraId="5BCBE958">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（1）合同因有效期限届满而终止；</w:t>
      </w:r>
    </w:p>
    <w:p w14:paraId="3B8ED0DE">
      <w:pPr>
        <w:spacing w:line="400" w:lineRule="exact"/>
        <w:ind w:firstLine="420"/>
        <w:rPr>
          <w:rFonts w:hint="eastAsia" w:ascii="宋体" w:hAnsi="宋体" w:cs="宋体"/>
          <w:color w:val="auto"/>
          <w:szCs w:val="21"/>
          <w:highlight w:val="none"/>
        </w:rPr>
      </w:pPr>
      <w:r>
        <w:rPr>
          <w:rFonts w:hint="eastAsia" w:ascii="宋体" w:hAnsi="宋体"/>
          <w:color w:val="auto"/>
          <w:szCs w:val="21"/>
          <w:highlight w:val="none"/>
        </w:rPr>
        <w:t>（2）乙方未按合同约定履行，构成根本性违约的，甲方有权终止合同，</w:t>
      </w:r>
      <w:r>
        <w:rPr>
          <w:rFonts w:hint="eastAsia" w:ascii="宋体" w:hAnsi="宋体" w:cs="宋体"/>
          <w:color w:val="auto"/>
          <w:szCs w:val="21"/>
          <w:highlight w:val="none"/>
        </w:rPr>
        <w:t>并追究乙方的违约责任</w:t>
      </w:r>
      <w:r>
        <w:rPr>
          <w:rFonts w:hint="eastAsia" w:ascii="宋体" w:hAnsi="宋体"/>
          <w:color w:val="auto"/>
          <w:szCs w:val="21"/>
          <w:highlight w:val="none"/>
        </w:rPr>
        <w:t>。</w:t>
      </w:r>
    </w:p>
    <w:p w14:paraId="40945577">
      <w:pPr>
        <w:pStyle w:val="192"/>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涉及国家利益、社会公共利益的情形</w:t>
      </w:r>
    </w:p>
    <w:p w14:paraId="5A7C808A">
      <w:pPr>
        <w:pStyle w:val="192"/>
        <w:ind w:firstLine="420"/>
        <w:jc w:val="both"/>
        <w:rPr>
          <w:rFonts w:hint="eastAsia"/>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6BC59BE2">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17. 合同分包</w:t>
      </w:r>
    </w:p>
    <w:p w14:paraId="6ED89336">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17.1 乙方不得将合同转包给其他供应商。涉及合同分包的，乙方应根据采购文件和投标（响应）文件规定进行合同分包。</w:t>
      </w:r>
    </w:p>
    <w:p w14:paraId="7B3F34EE">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17.2 乙方执行政府采购政策向中小企业依法分包的，乙方应当按采购文件和投标（响应）文件签订分包意向协议，分包意向协议属于本合同组成部分。</w:t>
      </w:r>
    </w:p>
    <w:p w14:paraId="13216563">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18. 不可抗力</w:t>
      </w:r>
    </w:p>
    <w:p w14:paraId="75D5D7A2">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18.1 不可抗力是指合同双方不能预见、不能避免且不能克服的客观情况。</w:t>
      </w:r>
    </w:p>
    <w:p w14:paraId="5BF1E36D">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18.2 任何一方对由于不可抗力造成的部分或全部不能履行合同不承担违约责任。但迟延履行后发生不可抗力的，不能免除责任。</w:t>
      </w:r>
    </w:p>
    <w:p w14:paraId="0D965742">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34AD2D1">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19. 解决争议的方法</w:t>
      </w:r>
    </w:p>
    <w:p w14:paraId="6370424F">
      <w:pPr>
        <w:pStyle w:val="19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48FD86E9">
      <w:pPr>
        <w:pStyle w:val="19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22996D94">
      <w:pPr>
        <w:pStyle w:val="19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29EFB73F">
      <w:pPr>
        <w:spacing w:line="400" w:lineRule="exact"/>
        <w:jc w:val="left"/>
        <w:rPr>
          <w:rFonts w:hint="eastAsia" w:ascii="宋体" w:hAnsi="宋体"/>
          <w:color w:val="auto"/>
          <w:sz w:val="24"/>
          <w:highlight w:val="none"/>
        </w:rPr>
      </w:pPr>
      <w:r>
        <w:rPr>
          <w:rFonts w:hint="eastAsia" w:ascii="宋体" w:hAnsi="宋体"/>
          <w:b/>
          <w:color w:val="auto"/>
          <w:sz w:val="24"/>
          <w:highlight w:val="none"/>
        </w:rPr>
        <w:t>20. 政府采购政策</w:t>
      </w:r>
    </w:p>
    <w:p w14:paraId="1F124014">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本合同应当按照规定执行政府采购政策。</w:t>
      </w:r>
    </w:p>
    <w:p w14:paraId="7F0C2777">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20.2 本合同依法执行政府采购政策的方式和内容，属于合同履约验收的范围。</w:t>
      </w:r>
      <w:r>
        <w:rPr>
          <w:rFonts w:hint="eastAsia" w:ascii="宋体" w:hAnsi="宋体" w:cs="宋体"/>
          <w:color w:val="auto"/>
          <w:highlight w:val="none"/>
        </w:rPr>
        <w:t>甲乙双方</w:t>
      </w:r>
      <w:r>
        <w:rPr>
          <w:rFonts w:hint="eastAsia" w:ascii="宋体" w:hAnsi="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1952A2BC">
      <w:pPr>
        <w:pStyle w:val="15"/>
        <w:spacing w:after="0" w:line="400" w:lineRule="exact"/>
        <w:ind w:firstLine="420"/>
        <w:rPr>
          <w:rFonts w:hint="eastAsia"/>
          <w:color w:val="auto"/>
          <w:highlight w:val="none"/>
        </w:rPr>
      </w:pPr>
      <w:r>
        <w:rPr>
          <w:rFonts w:hint="eastAsia" w:ascii="宋体" w:hAnsi="宋体"/>
          <w:color w:val="auto"/>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6447C0E">
      <w:pPr>
        <w:spacing w:line="400" w:lineRule="exact"/>
        <w:jc w:val="left"/>
        <w:rPr>
          <w:rFonts w:ascii="宋体" w:hAnsi="宋体"/>
          <w:b/>
          <w:color w:val="auto"/>
          <w:sz w:val="24"/>
          <w:highlight w:val="none"/>
        </w:rPr>
      </w:pPr>
      <w:r>
        <w:rPr>
          <w:rFonts w:hint="eastAsia" w:ascii="宋体" w:hAnsi="宋体"/>
          <w:b/>
          <w:color w:val="auto"/>
          <w:sz w:val="24"/>
          <w:highlight w:val="none"/>
        </w:rPr>
        <w:t>21. 法律适用</w:t>
      </w:r>
    </w:p>
    <w:p w14:paraId="69DEF732">
      <w:pPr>
        <w:pStyle w:val="19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006003E8">
      <w:pPr>
        <w:pStyle w:val="19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198E8426">
      <w:pPr>
        <w:spacing w:line="400" w:lineRule="exact"/>
        <w:jc w:val="left"/>
        <w:rPr>
          <w:rFonts w:hint="eastAsia" w:ascii="宋体" w:hAnsi="宋体"/>
          <w:b/>
          <w:color w:val="auto"/>
          <w:sz w:val="24"/>
          <w:highlight w:val="none"/>
        </w:rPr>
      </w:pPr>
      <w:r>
        <w:rPr>
          <w:rFonts w:hint="eastAsia" w:ascii="宋体" w:hAnsi="宋体"/>
          <w:b/>
          <w:color w:val="auto"/>
          <w:sz w:val="24"/>
          <w:highlight w:val="none"/>
        </w:rPr>
        <w:t>22. 通知</w:t>
      </w:r>
    </w:p>
    <w:p w14:paraId="13380273">
      <w:pPr>
        <w:pStyle w:val="19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4D1F8026">
      <w:pPr>
        <w:pStyle w:val="192"/>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37D42377">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22.3本合同一方给另一方的通知均应采用书面形式，传真或快递送到本合同中规定的对方的地址和办理签收手续。</w:t>
      </w:r>
    </w:p>
    <w:p w14:paraId="010DE1B1">
      <w:pPr>
        <w:spacing w:line="400" w:lineRule="exact"/>
        <w:ind w:firstLine="420"/>
        <w:jc w:val="left"/>
        <w:rPr>
          <w:rFonts w:hint="eastAsia" w:ascii="宋体" w:hAnsi="宋体"/>
          <w:color w:val="auto"/>
          <w:szCs w:val="21"/>
          <w:highlight w:val="none"/>
        </w:rPr>
      </w:pPr>
      <w:r>
        <w:rPr>
          <w:rFonts w:hint="eastAsia" w:ascii="宋体" w:hAnsi="宋体"/>
          <w:color w:val="auto"/>
          <w:szCs w:val="21"/>
          <w:highlight w:val="none"/>
        </w:rPr>
        <w:t>22.4通知以送达之日或通知书中规定的生效之日起生效，两者中以较迟之日为准。</w:t>
      </w:r>
    </w:p>
    <w:p w14:paraId="7D8A5B55">
      <w:pPr>
        <w:numPr>
          <w:ilvl w:val="0"/>
          <w:numId w:val="6"/>
        </w:num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合同未尽事项</w:t>
      </w:r>
    </w:p>
    <w:p w14:paraId="017484A2">
      <w:pPr>
        <w:spacing w:line="400" w:lineRule="exact"/>
        <w:ind w:firstLine="420"/>
        <w:jc w:val="left"/>
        <w:rPr>
          <w:rFonts w:hint="eastAsia" w:ascii="宋体" w:hAnsi="宋体"/>
          <w:bCs/>
          <w:color w:val="auto"/>
          <w:szCs w:val="21"/>
          <w:highlight w:val="none"/>
        </w:rPr>
      </w:pPr>
      <w:r>
        <w:rPr>
          <w:rFonts w:hint="eastAsia" w:ascii="宋体" w:hAnsi="宋体"/>
          <w:bCs/>
          <w:color w:val="auto"/>
          <w:szCs w:val="21"/>
          <w:highlight w:val="none"/>
        </w:rPr>
        <w:t>23.1合同未尽事项见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7EF0403F">
      <w:pPr>
        <w:spacing w:line="400" w:lineRule="exact"/>
        <w:jc w:val="lef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p>
    <w:p w14:paraId="6EFF3384">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br w:type="page" w:clear="all"/>
      </w:r>
    </w:p>
    <w:p w14:paraId="7B1E418F">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t>第三节 政府采购合同专用条款</w:t>
      </w:r>
      <w:bookmarkEnd w:id="168"/>
    </w:p>
    <w:tbl>
      <w:tblPr>
        <w:tblStyle w:val="35"/>
        <w:tblW w:w="894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599"/>
      </w:tblGrid>
      <w:tr w14:paraId="3BE81BB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7BF5D374">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782C6ADD">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第1.2（6）项</w:t>
            </w:r>
          </w:p>
        </w:tc>
        <w:tc>
          <w:tcPr>
            <w:tcW w:w="1789" w:type="dxa"/>
            <w:noWrap w:val="0"/>
            <w:vAlign w:val="center"/>
          </w:tcPr>
          <w:p w14:paraId="2D7C965F">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联合体具体要求</w:t>
            </w:r>
          </w:p>
        </w:tc>
        <w:tc>
          <w:tcPr>
            <w:tcW w:w="5599" w:type="dxa"/>
            <w:noWrap w:val="0"/>
            <w:vAlign w:val="center"/>
          </w:tcPr>
          <w:p w14:paraId="4EA9940B">
            <w:pPr>
              <w:pStyle w:val="208"/>
              <w:spacing w:line="240" w:lineRule="auto"/>
              <w:ind w:firstLine="420"/>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本项目不接受联合体</w:t>
            </w:r>
          </w:p>
        </w:tc>
      </w:tr>
      <w:tr w14:paraId="4E22EF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1560" w:type="dxa"/>
            <w:noWrap w:val="0"/>
            <w:vAlign w:val="center"/>
          </w:tcPr>
          <w:p w14:paraId="292076DB">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18D0EBDF">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第1.2（7）项</w:t>
            </w:r>
          </w:p>
        </w:tc>
        <w:tc>
          <w:tcPr>
            <w:tcW w:w="1789" w:type="dxa"/>
            <w:noWrap w:val="0"/>
            <w:vAlign w:val="center"/>
          </w:tcPr>
          <w:p w14:paraId="692D8714">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其他术语解释</w:t>
            </w:r>
          </w:p>
        </w:tc>
        <w:tc>
          <w:tcPr>
            <w:tcW w:w="5599" w:type="dxa"/>
            <w:noWrap w:val="0"/>
            <w:vAlign w:val="center"/>
          </w:tcPr>
          <w:p w14:paraId="6352A23C">
            <w:pPr>
              <w:pStyle w:val="208"/>
              <w:spacing w:line="240" w:lineRule="auto"/>
              <w:ind w:firstLine="420"/>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w:t>
            </w:r>
          </w:p>
        </w:tc>
      </w:tr>
      <w:tr w14:paraId="26C436D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3F5D242B">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3C442819">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第4.4款</w:t>
            </w:r>
          </w:p>
        </w:tc>
        <w:tc>
          <w:tcPr>
            <w:tcW w:w="1789" w:type="dxa"/>
            <w:noWrap w:val="0"/>
            <w:vAlign w:val="center"/>
          </w:tcPr>
          <w:p w14:paraId="5EBA7F12">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履约验收中甲方提出异议或作出说明的期限</w:t>
            </w:r>
          </w:p>
        </w:tc>
        <w:tc>
          <w:tcPr>
            <w:tcW w:w="5599" w:type="dxa"/>
            <w:noWrap w:val="0"/>
            <w:vAlign w:val="center"/>
          </w:tcPr>
          <w:p w14:paraId="419C56E5">
            <w:pPr>
              <w:pStyle w:val="208"/>
              <w:spacing w:line="240" w:lineRule="auto"/>
              <w:ind w:firstLine="420"/>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在竣工验收完成后的30日内，甲方对乙方所供货物的技术性能和参数等方面的问题有提出异议的权利。</w:t>
            </w:r>
          </w:p>
        </w:tc>
      </w:tr>
      <w:tr w14:paraId="24FA889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3E081775">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2B0BA6CE">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第4.6款</w:t>
            </w:r>
          </w:p>
        </w:tc>
        <w:tc>
          <w:tcPr>
            <w:tcW w:w="1789" w:type="dxa"/>
            <w:noWrap w:val="0"/>
            <w:vAlign w:val="center"/>
          </w:tcPr>
          <w:p w14:paraId="787E078B">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约定甲方承担的其他义务和责任</w:t>
            </w:r>
          </w:p>
        </w:tc>
        <w:tc>
          <w:tcPr>
            <w:tcW w:w="5599" w:type="dxa"/>
            <w:noWrap w:val="0"/>
            <w:vAlign w:val="center"/>
          </w:tcPr>
          <w:p w14:paraId="49136381">
            <w:pPr>
              <w:pStyle w:val="208"/>
              <w:spacing w:line="240" w:lineRule="auto"/>
              <w:ind w:left="458"/>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协助、协调乙方与相关单位的配合工作</w:t>
            </w:r>
          </w:p>
        </w:tc>
      </w:tr>
      <w:tr w14:paraId="78C3316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00C13EEE">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18CD59A4">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第5.4款</w:t>
            </w:r>
          </w:p>
        </w:tc>
        <w:tc>
          <w:tcPr>
            <w:tcW w:w="1789" w:type="dxa"/>
            <w:noWrap w:val="0"/>
            <w:vAlign w:val="center"/>
          </w:tcPr>
          <w:p w14:paraId="35573350">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约定乙方承担的其他义务和责任</w:t>
            </w:r>
          </w:p>
        </w:tc>
        <w:tc>
          <w:tcPr>
            <w:tcW w:w="5599" w:type="dxa"/>
            <w:noWrap w:val="0"/>
            <w:vAlign w:val="center"/>
          </w:tcPr>
          <w:p w14:paraId="75A1D347">
            <w:pPr>
              <w:pStyle w:val="208"/>
              <w:spacing w:line="240" w:lineRule="auto"/>
              <w:ind w:firstLine="42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1、乙方保证甲方在使用该货物或其任何一部分时免受第三方关于侵犯其专利权、商标权、工业设计权、知识产权等相关权利的指控。</w:t>
            </w:r>
          </w:p>
          <w:p w14:paraId="558B91BE">
            <w:pPr>
              <w:pStyle w:val="208"/>
              <w:spacing w:line="240" w:lineRule="auto"/>
              <w:ind w:firstLine="42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2、如货物的硬（软）件质量、规格在使用期内被证明存在缺陷，包括潜在的缺陷或使用不合适的材料，甲方或乙方有权凭有关证明文件向供方提出索赔，并交有关部门处理。</w:t>
            </w:r>
          </w:p>
          <w:p w14:paraId="5539062F">
            <w:pPr>
              <w:spacing w:line="240" w:lineRule="auto"/>
              <w:ind w:firstLine="440"/>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t>乙方逾期交付货物的，乙方应按逾期交货总额</w:t>
            </w:r>
            <w:r>
              <w:rPr>
                <w:rFonts w:hint="eastAsia" w:ascii="仿宋" w:hAnsi="仿宋" w:eastAsia="仿宋" w:cs="仿宋"/>
                <w:color w:val="auto"/>
                <w:sz w:val="22"/>
                <w:szCs w:val="22"/>
                <w:highlight w:val="none"/>
                <w:lang w:val="en-US" w:eastAsia="zh-CN"/>
              </w:rPr>
              <w:t>5‰元/天</w:t>
            </w:r>
            <w:r>
              <w:rPr>
                <w:rFonts w:hint="eastAsia" w:ascii="仿宋" w:hAnsi="仿宋" w:eastAsia="仿宋" w:cs="仿宋"/>
                <w:color w:val="auto"/>
                <w:sz w:val="22"/>
                <w:szCs w:val="22"/>
                <w:highlight w:val="none"/>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rPr>
              <w:t>的违约金，如造成甲方损失超过违约金的，超出部分由乙方继续承担赔偿责任</w:t>
            </w:r>
            <w:r>
              <w:rPr>
                <w:rFonts w:hint="eastAsia" w:ascii="仿宋" w:hAnsi="仿宋" w:eastAsia="仿宋" w:cs="仿宋"/>
                <w:color w:val="auto"/>
                <w:sz w:val="22"/>
                <w:szCs w:val="22"/>
                <w:highlight w:val="none"/>
                <w:lang w:val="en-US" w:eastAsia="zh-CN"/>
              </w:rPr>
              <w:t>。</w:t>
            </w:r>
          </w:p>
          <w:p w14:paraId="0784DE3D">
            <w:pPr>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5E249FC0">
            <w:pPr>
              <w:spacing w:line="240" w:lineRule="auto"/>
              <w:ind w:firstLine="440"/>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5、乙方如提供的货物或者人员不能满足甲方要求，甲方可要求其无条件更换，直至满足要求为止。</w:t>
            </w:r>
          </w:p>
        </w:tc>
      </w:tr>
      <w:tr w14:paraId="0318862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344D775D">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10D9E863">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第6.1款</w:t>
            </w:r>
          </w:p>
        </w:tc>
        <w:tc>
          <w:tcPr>
            <w:tcW w:w="1789" w:type="dxa"/>
            <w:noWrap w:val="0"/>
            <w:vAlign w:val="center"/>
          </w:tcPr>
          <w:p w14:paraId="668EF9CE">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履行合同义务的顺序</w:t>
            </w:r>
          </w:p>
        </w:tc>
        <w:tc>
          <w:tcPr>
            <w:tcW w:w="5599" w:type="dxa"/>
            <w:noWrap w:val="0"/>
            <w:vAlign w:val="center"/>
          </w:tcPr>
          <w:p w14:paraId="570B205A">
            <w:pPr>
              <w:spacing w:line="240" w:lineRule="auto"/>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w:t>
            </w:r>
          </w:p>
        </w:tc>
      </w:tr>
      <w:tr w14:paraId="1847612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jc w:val="center"/>
        </w:trPr>
        <w:tc>
          <w:tcPr>
            <w:tcW w:w="1560" w:type="dxa"/>
            <w:vMerge w:val="restart"/>
            <w:noWrap w:val="0"/>
            <w:vAlign w:val="center"/>
          </w:tcPr>
          <w:p w14:paraId="5559C141">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32C377FC">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第7.1款</w:t>
            </w:r>
          </w:p>
        </w:tc>
        <w:tc>
          <w:tcPr>
            <w:tcW w:w="1789" w:type="dxa"/>
            <w:noWrap w:val="0"/>
            <w:vAlign w:val="center"/>
          </w:tcPr>
          <w:p w14:paraId="7FCF1DF8">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包装特殊要求</w:t>
            </w:r>
          </w:p>
        </w:tc>
        <w:tc>
          <w:tcPr>
            <w:tcW w:w="5599" w:type="dxa"/>
            <w:noWrap w:val="0"/>
            <w:vAlign w:val="center"/>
          </w:tcPr>
          <w:p w14:paraId="63DC4582">
            <w:pPr>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21D074AB">
            <w:pPr>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1.商品包装层数不得超过3 层，空隙率不大于40%；</w:t>
            </w:r>
          </w:p>
          <w:p w14:paraId="593EF938">
            <w:pPr>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2.商品包装尽可能使用单一材质的包装材料，如因功能需求必需使用不同材质，不同材质间应便于分离；</w:t>
            </w:r>
          </w:p>
          <w:p w14:paraId="6EA4A958">
            <w:pPr>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3.商品包装中铅、汞、镉、六价铬的总含量应不大于100mg/kg；</w:t>
            </w:r>
          </w:p>
          <w:p w14:paraId="2F190FF7">
            <w:pPr>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4.商品包装印刷使用的油墨中挥发性有机化合物(VOCs)含量应不大于 5%（以重量计）；</w:t>
            </w:r>
          </w:p>
          <w:p w14:paraId="76F3ECBB">
            <w:pPr>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5.塑料材质商品包装上呈现的印刷颜色不得超过6色；</w:t>
            </w:r>
          </w:p>
          <w:p w14:paraId="5768694D">
            <w:pPr>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6.纸质商品包装应使用75%以上的可再生纤维原料生产；</w:t>
            </w:r>
          </w:p>
          <w:p w14:paraId="07E0E318">
            <w:pPr>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7.木质商品包装的原料应来源于可持续性森林。</w:t>
            </w:r>
          </w:p>
          <w:p w14:paraId="0ED03044">
            <w:pPr>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1189DA4B">
            <w:pPr>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9每件包装箱内应附一份详细装箱单和质量合格凭证。</w:t>
            </w:r>
          </w:p>
          <w:p w14:paraId="321B058E">
            <w:pPr>
              <w:spacing w:line="240" w:lineRule="auto"/>
              <w:jc w:val="both"/>
              <w:rPr>
                <w:rFonts w:hint="eastAsia" w:ascii="仿宋" w:hAnsi="仿宋" w:eastAsia="仿宋" w:cs="仿宋"/>
                <w:color w:val="auto"/>
                <w:sz w:val="22"/>
                <w:szCs w:val="22"/>
                <w:highlight w:val="none"/>
              </w:rPr>
            </w:pPr>
          </w:p>
        </w:tc>
      </w:tr>
      <w:tr w14:paraId="5893C6B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jc w:val="center"/>
        </w:trPr>
        <w:tc>
          <w:tcPr>
            <w:tcW w:w="1560" w:type="dxa"/>
            <w:vMerge w:val="continue"/>
            <w:noWrap w:val="0"/>
            <w:vAlign w:val="center"/>
          </w:tcPr>
          <w:p w14:paraId="0A681E31">
            <w:pPr>
              <w:spacing w:line="240" w:lineRule="auto"/>
              <w:jc w:val="center"/>
              <w:rPr>
                <w:rFonts w:hint="eastAsia" w:ascii="仿宋" w:hAnsi="仿宋" w:eastAsia="仿宋" w:cs="仿宋"/>
                <w:color w:val="auto"/>
                <w:sz w:val="22"/>
                <w:szCs w:val="22"/>
                <w:highlight w:val="none"/>
              </w:rPr>
            </w:pPr>
          </w:p>
        </w:tc>
        <w:tc>
          <w:tcPr>
            <w:tcW w:w="1789" w:type="dxa"/>
            <w:noWrap w:val="0"/>
            <w:vAlign w:val="center"/>
          </w:tcPr>
          <w:p w14:paraId="7E1C6201">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指定现场</w:t>
            </w:r>
          </w:p>
        </w:tc>
        <w:tc>
          <w:tcPr>
            <w:tcW w:w="5599" w:type="dxa"/>
            <w:noWrap w:val="0"/>
            <w:vAlign w:val="center"/>
          </w:tcPr>
          <w:p w14:paraId="785F2169">
            <w:pPr>
              <w:spacing w:line="240" w:lineRule="auto"/>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东台市（采购人指定地点）</w:t>
            </w:r>
          </w:p>
        </w:tc>
      </w:tr>
      <w:tr w14:paraId="60973F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jc w:val="center"/>
        </w:trPr>
        <w:tc>
          <w:tcPr>
            <w:tcW w:w="1560" w:type="dxa"/>
            <w:noWrap w:val="0"/>
            <w:vAlign w:val="center"/>
          </w:tcPr>
          <w:p w14:paraId="69FDA112">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5A5E83E4">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第7.2款</w:t>
            </w:r>
          </w:p>
        </w:tc>
        <w:tc>
          <w:tcPr>
            <w:tcW w:w="1789" w:type="dxa"/>
            <w:noWrap w:val="0"/>
            <w:vAlign w:val="center"/>
          </w:tcPr>
          <w:p w14:paraId="03393CC2">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运输特殊要求</w:t>
            </w:r>
          </w:p>
        </w:tc>
        <w:tc>
          <w:tcPr>
            <w:tcW w:w="5599" w:type="dxa"/>
            <w:noWrap w:val="0"/>
            <w:vAlign w:val="center"/>
          </w:tcPr>
          <w:p w14:paraId="0E66EDB1">
            <w:pPr>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1.货物验收合格、交付使用并提供所需单据的日期视为交货日期。</w:t>
            </w:r>
          </w:p>
          <w:p w14:paraId="29090FE0">
            <w:pPr>
              <w:pStyle w:val="192"/>
              <w:spacing w:line="240" w:lineRule="auto"/>
              <w:ind w:firstLine="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2.乙方在货物发运手续办理完毕后24小时内或货到48小时前通知甲方，以准备接货。（具体时间根据双方实际需求调整）</w:t>
            </w:r>
          </w:p>
          <w:p w14:paraId="4CAD0754">
            <w:pPr>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3.乙方装运的货物不应超过合同规定的数量或重量。乙方应对超交数量或超重而产生的一切后果负责。</w:t>
            </w:r>
          </w:p>
          <w:p w14:paraId="04665156">
            <w:pPr>
              <w:pStyle w:val="192"/>
              <w:spacing w:line="240" w:lineRule="auto"/>
              <w:ind w:firstLine="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4.货物在交付甲方前发生的货物损失及人员安全风险均由乙方负责。</w:t>
            </w:r>
          </w:p>
        </w:tc>
      </w:tr>
      <w:tr w14:paraId="69309C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560" w:type="dxa"/>
            <w:noWrap w:val="0"/>
            <w:vAlign w:val="center"/>
          </w:tcPr>
          <w:p w14:paraId="482FB0A1">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580C81C9">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第7.3款</w:t>
            </w:r>
          </w:p>
        </w:tc>
        <w:tc>
          <w:tcPr>
            <w:tcW w:w="1789" w:type="dxa"/>
            <w:noWrap w:val="0"/>
            <w:vAlign w:val="center"/>
          </w:tcPr>
          <w:p w14:paraId="6772D40F">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保险要求</w:t>
            </w:r>
          </w:p>
        </w:tc>
        <w:tc>
          <w:tcPr>
            <w:tcW w:w="5599" w:type="dxa"/>
            <w:noWrap w:val="0"/>
            <w:vAlign w:val="center"/>
          </w:tcPr>
          <w:p w14:paraId="4B7399BB">
            <w:pPr>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货物交货前由乙方承担保险义务</w:t>
            </w:r>
          </w:p>
        </w:tc>
      </w:tr>
      <w:tr w14:paraId="55B08E9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28E7F1A2">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0C17F487">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第8.2（1）项</w:t>
            </w:r>
          </w:p>
        </w:tc>
        <w:tc>
          <w:tcPr>
            <w:tcW w:w="1789" w:type="dxa"/>
            <w:noWrap w:val="0"/>
            <w:vAlign w:val="center"/>
          </w:tcPr>
          <w:p w14:paraId="325C7AD7">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质量保证期</w:t>
            </w:r>
          </w:p>
        </w:tc>
        <w:tc>
          <w:tcPr>
            <w:tcW w:w="5599" w:type="dxa"/>
            <w:noWrap w:val="0"/>
            <w:vAlign w:val="center"/>
          </w:tcPr>
          <w:p w14:paraId="19F864C7">
            <w:pPr>
              <w:pStyle w:val="33"/>
              <w:spacing w:before="120" w:beforeAutospacing="0" w:after="120" w:afterAutospacing="0" w:line="240" w:lineRule="auto"/>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货物免费质保期：不低于三年（质保期以项目最终验收之日起算，包含硬件和软件维护、故障的调试及升级；中标人须保证所供系统的使用期为永久，保证招标人所购产品的有效性和合法性，中标人所投系统如非自主产权，须在签订合同前提供产权所有权人针对招标人的永久使用授权）</w:t>
            </w:r>
          </w:p>
        </w:tc>
      </w:tr>
      <w:tr w14:paraId="0F16DF7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0E45939B">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0FA65E22">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第8.2（3）项</w:t>
            </w:r>
          </w:p>
        </w:tc>
        <w:tc>
          <w:tcPr>
            <w:tcW w:w="1789" w:type="dxa"/>
            <w:noWrap w:val="0"/>
            <w:vAlign w:val="center"/>
          </w:tcPr>
          <w:p w14:paraId="092BAB7C">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货物质量缺陷</w:t>
            </w:r>
          </w:p>
          <w:p w14:paraId="4921DB8B">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响应时间</w:t>
            </w:r>
          </w:p>
        </w:tc>
        <w:tc>
          <w:tcPr>
            <w:tcW w:w="5599" w:type="dxa"/>
            <w:noWrap w:val="0"/>
            <w:vAlign w:val="center"/>
          </w:tcPr>
          <w:p w14:paraId="5B258597">
            <w:pPr>
              <w:spacing w:line="240" w:lineRule="auto"/>
              <w:jc w:val="both"/>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p>
        </w:tc>
      </w:tr>
      <w:tr w14:paraId="7F4A8A3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07B3F3AB">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7D1B214C">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第8款补充</w:t>
            </w:r>
          </w:p>
        </w:tc>
        <w:tc>
          <w:tcPr>
            <w:tcW w:w="1789" w:type="dxa"/>
            <w:noWrap w:val="0"/>
            <w:vAlign w:val="center"/>
          </w:tcPr>
          <w:p w14:paraId="63C3E573">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质量保证要求</w:t>
            </w:r>
          </w:p>
        </w:tc>
        <w:tc>
          <w:tcPr>
            <w:tcW w:w="5599" w:type="dxa"/>
            <w:noWrap w:val="0"/>
            <w:vAlign w:val="center"/>
          </w:tcPr>
          <w:p w14:paraId="263A3817">
            <w:pPr>
              <w:keepNext w:val="0"/>
              <w:keepLines w:val="0"/>
              <w:pageBreakBefore w:val="0"/>
              <w:widowControl w:val="0"/>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 在质保期内，乙方应对货物出现的质量及安全问题负责处理解决并承担一切费用（因甲方不当使用的除外）。</w:t>
            </w:r>
          </w:p>
          <w:p w14:paraId="46BF1EF4">
            <w:pPr>
              <w:keepNext w:val="0"/>
              <w:keepLines w:val="0"/>
              <w:pageBreakBefore w:val="0"/>
              <w:widowControl w:val="0"/>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2.乙方应按照国家有关法律法规规章和“三包”规定以及招标文件售后服务要求及投标文件售后服务承诺提供售后服务。</w:t>
            </w:r>
          </w:p>
          <w:p w14:paraId="69834846">
            <w:pPr>
              <w:keepNext w:val="0"/>
              <w:keepLines w:val="0"/>
              <w:pageBreakBefore w:val="0"/>
              <w:widowControl w:val="0"/>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3.所有货物保修服务方式均为乙方上门保修，由乙方派员到货物使用现场维修，所产生的一切费用由乙方承担（双方视项目情况调整）。</w:t>
            </w:r>
          </w:p>
          <w:p w14:paraId="06CD77B3">
            <w:pPr>
              <w:keepNext w:val="0"/>
              <w:keepLines w:val="0"/>
              <w:pageBreakBefore w:val="0"/>
              <w:widowControl w:val="0"/>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65DE8B9F">
            <w:pPr>
              <w:keepNext w:val="0"/>
              <w:keepLines w:val="0"/>
              <w:pageBreakBefore w:val="0"/>
              <w:widowControl w:val="0"/>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70C063B4">
            <w:pPr>
              <w:keepNext w:val="0"/>
              <w:keepLines w:val="0"/>
              <w:pageBreakBefore w:val="0"/>
              <w:widowControl w:val="0"/>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64F36D42">
            <w:pPr>
              <w:keepNext w:val="0"/>
              <w:keepLines w:val="0"/>
              <w:pageBreakBefore w:val="0"/>
              <w:widowControl w:val="0"/>
              <w:spacing w:line="240" w:lineRule="auto"/>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56F70D4A">
            <w:pPr>
              <w:pStyle w:val="33"/>
              <w:keepNext w:val="0"/>
              <w:keepLines w:val="0"/>
              <w:pageBreakBefore w:val="0"/>
              <w:widowControl w:val="0"/>
              <w:spacing w:before="120" w:beforeAutospacing="0" w:after="120" w:afterAutospacing="0"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64883F5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248A8543">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64E82614">
            <w:pPr>
              <w:widowControl/>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第11.1款</w:t>
            </w:r>
          </w:p>
        </w:tc>
        <w:tc>
          <w:tcPr>
            <w:tcW w:w="1789" w:type="dxa"/>
            <w:noWrap w:val="0"/>
            <w:vAlign w:val="center"/>
          </w:tcPr>
          <w:p w14:paraId="2C5C3279">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其他应当保密的信息</w:t>
            </w:r>
          </w:p>
        </w:tc>
        <w:tc>
          <w:tcPr>
            <w:tcW w:w="5599" w:type="dxa"/>
            <w:noWrap w:val="0"/>
            <w:vAlign w:val="center"/>
          </w:tcPr>
          <w:p w14:paraId="765F52B8">
            <w:pPr>
              <w:pStyle w:val="33"/>
              <w:keepNext w:val="0"/>
              <w:keepLines w:val="0"/>
              <w:pageBreakBefore w:val="0"/>
              <w:widowControl w:val="0"/>
              <w:spacing w:beforeAutospacing="0" w:afterAutospacing="0"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乙方在任何情况下的泄密给甲方造成不良影响时，甲方有权立即终止合同并不支付全部货款（货款已付时乙方须无条款退还已收到的全部货款），同时支付20%的违约金，并作为不良记录公示。</w:t>
            </w:r>
          </w:p>
        </w:tc>
      </w:tr>
      <w:tr w14:paraId="2CA1B64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60" w:type="dxa"/>
            <w:noWrap w:val="0"/>
            <w:vAlign w:val="center"/>
          </w:tcPr>
          <w:p w14:paraId="379348AB">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0C52F129">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第12.2款</w:t>
            </w:r>
          </w:p>
        </w:tc>
        <w:tc>
          <w:tcPr>
            <w:tcW w:w="1789" w:type="dxa"/>
            <w:noWrap w:val="0"/>
            <w:vAlign w:val="center"/>
          </w:tcPr>
          <w:p w14:paraId="223BC7C3">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合同价款支付时间及要求</w:t>
            </w:r>
          </w:p>
        </w:tc>
        <w:tc>
          <w:tcPr>
            <w:tcW w:w="5599" w:type="dxa"/>
            <w:noWrap w:val="0"/>
            <w:vAlign w:val="center"/>
          </w:tcPr>
          <w:p w14:paraId="675DEA10">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1.合同款项的支付方式及进度安排：详见合同协议书。</w:t>
            </w:r>
          </w:p>
          <w:p w14:paraId="7CB8B31A">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466A601E">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 发票；</w:t>
            </w:r>
          </w:p>
          <w:p w14:paraId="424D4B65">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 制造厂家出具的质量检验证书等；</w:t>
            </w:r>
          </w:p>
          <w:p w14:paraId="680174EF">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 装箱单；</w:t>
            </w:r>
          </w:p>
          <w:p w14:paraId="5B910595">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 甲方加盖公章证明交付使用合格的验收单。</w:t>
            </w:r>
          </w:p>
          <w:p w14:paraId="0B4EFC51">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 报送手续所需的相关货物文件或安装资料。</w:t>
            </w:r>
          </w:p>
        </w:tc>
      </w:tr>
      <w:tr w14:paraId="1F30EE8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60" w:type="dxa"/>
            <w:noWrap w:val="0"/>
            <w:vAlign w:val="center"/>
          </w:tcPr>
          <w:p w14:paraId="68FBC46C">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6E47E585">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第13.2款</w:t>
            </w:r>
          </w:p>
        </w:tc>
        <w:tc>
          <w:tcPr>
            <w:tcW w:w="1789" w:type="dxa"/>
            <w:noWrap w:val="0"/>
            <w:vAlign w:val="center"/>
          </w:tcPr>
          <w:p w14:paraId="584051CC">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履约保证金不予退还的情形</w:t>
            </w:r>
          </w:p>
        </w:tc>
        <w:tc>
          <w:tcPr>
            <w:tcW w:w="5599" w:type="dxa"/>
            <w:noWrap w:val="0"/>
            <w:vAlign w:val="center"/>
          </w:tcPr>
          <w:p w14:paraId="750C9963">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除不可抗力情况外，投标人出现下列情形之一的，其履约保证金，招标人将视情节决定不予退还或部分不予退还。</w:t>
            </w:r>
          </w:p>
          <w:p w14:paraId="449BC5D3">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（1）中标人无正当理由拒绝签订合同的，或者在签订合同时向采购人提出附加条件或者更改合同实质性内容要求的；</w:t>
            </w:r>
          </w:p>
          <w:p w14:paraId="77D4E94C">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（2）中标人不履行与采购人订立的合同的；</w:t>
            </w:r>
          </w:p>
          <w:p w14:paraId="3C78283B">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（3）中标人所供货物或服务不符合招标文件规定要求的；</w:t>
            </w:r>
          </w:p>
          <w:p w14:paraId="1C9046B0">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（4）中标人采取欺骗、弄虚作假方式投标的或与</w:t>
            </w:r>
            <w:r>
              <w:rPr>
                <w:rFonts w:hint="eastAsia" w:ascii="仿宋" w:hAnsi="仿宋" w:eastAsia="仿宋" w:cs="仿宋"/>
                <w:color w:val="auto"/>
                <w:sz w:val="22"/>
                <w:szCs w:val="22"/>
                <w:highlight w:val="none"/>
                <w:lang w:eastAsia="zh-CN"/>
              </w:rPr>
              <w:t>其他</w:t>
            </w:r>
            <w:r>
              <w:rPr>
                <w:rFonts w:hint="eastAsia" w:ascii="仿宋" w:hAnsi="仿宋" w:eastAsia="仿宋" w:cs="仿宋"/>
                <w:color w:val="auto"/>
                <w:sz w:val="22"/>
                <w:szCs w:val="22"/>
                <w:highlight w:val="none"/>
              </w:rPr>
              <w:t>投标人串通投标的；</w:t>
            </w:r>
          </w:p>
          <w:p w14:paraId="6E959191">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（5）中标人将合同内容转包、违法分包的；</w:t>
            </w:r>
          </w:p>
          <w:p w14:paraId="291E97AA">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（6）中标人故意捏造事实或伪造证明材料，进行虚假恶意投诉或反映的。</w:t>
            </w:r>
          </w:p>
        </w:tc>
      </w:tr>
      <w:tr w14:paraId="61F812D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17AAB2ED">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0DB05BD3">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第13.3款</w:t>
            </w:r>
          </w:p>
        </w:tc>
        <w:tc>
          <w:tcPr>
            <w:tcW w:w="1789" w:type="dxa"/>
            <w:noWrap w:val="0"/>
            <w:vAlign w:val="center"/>
          </w:tcPr>
          <w:p w14:paraId="12898FA2">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履约保证金退还时间及逾期退还的违约金</w:t>
            </w:r>
          </w:p>
        </w:tc>
        <w:tc>
          <w:tcPr>
            <w:tcW w:w="5599" w:type="dxa"/>
            <w:noWrap w:val="0"/>
            <w:vAlign w:val="center"/>
          </w:tcPr>
          <w:p w14:paraId="03974558">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1、合同履行结束后，甲方应及时退还交纳的履约保证金。</w:t>
            </w:r>
          </w:p>
          <w:p w14:paraId="09E10458">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2、退还方式：退还至投标人缴纳履约保证金的账户。如为保函，在到期时自行失效。</w:t>
            </w:r>
          </w:p>
          <w:p w14:paraId="5D628832">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3、退还时间：验收合格且甲方收到发票后30日内。</w:t>
            </w:r>
          </w:p>
          <w:p w14:paraId="704F823A">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4、退还条件：</w:t>
            </w:r>
            <w:r>
              <w:rPr>
                <w:rFonts w:hint="eastAsia" w:ascii="仿宋" w:hAnsi="仿宋" w:eastAsia="仿宋" w:cs="仿宋"/>
                <w:color w:val="auto"/>
                <w:sz w:val="22"/>
                <w:szCs w:val="22"/>
                <w:highlight w:val="none"/>
                <w:lang w:eastAsia="zh-CN"/>
              </w:rPr>
              <w:t>安装调试完毕并经采购人验收合格并移交全部资料</w:t>
            </w:r>
            <w:r>
              <w:rPr>
                <w:rFonts w:hint="eastAsia" w:ascii="仿宋" w:hAnsi="仿宋" w:eastAsia="仿宋" w:cs="仿宋"/>
                <w:color w:val="auto"/>
                <w:sz w:val="22"/>
                <w:szCs w:val="22"/>
                <w:highlight w:val="none"/>
              </w:rPr>
              <w:t>，且采购人收到中标人出具的发票。</w:t>
            </w:r>
          </w:p>
          <w:p w14:paraId="4E19BB89">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6BF5925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560" w:type="dxa"/>
            <w:noWrap w:val="0"/>
            <w:vAlign w:val="center"/>
          </w:tcPr>
          <w:p w14:paraId="214C838F">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0F570DC5">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第14.1（3）项</w:t>
            </w:r>
          </w:p>
        </w:tc>
        <w:tc>
          <w:tcPr>
            <w:tcW w:w="1789" w:type="dxa"/>
            <w:noWrap w:val="0"/>
            <w:vAlign w:val="center"/>
          </w:tcPr>
          <w:p w14:paraId="0DC27E7A">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运行监督、维修期限</w:t>
            </w:r>
          </w:p>
        </w:tc>
        <w:tc>
          <w:tcPr>
            <w:tcW w:w="5599" w:type="dxa"/>
            <w:shd w:val="clear" w:color="auto" w:fill="auto"/>
            <w:noWrap w:val="0"/>
            <w:vAlign w:val="center"/>
          </w:tcPr>
          <w:p w14:paraId="2D12DF1D">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详见合同协议书</w:t>
            </w:r>
          </w:p>
        </w:tc>
      </w:tr>
      <w:tr w14:paraId="516BD15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560" w:type="dxa"/>
            <w:noWrap w:val="0"/>
            <w:vAlign w:val="center"/>
          </w:tcPr>
          <w:p w14:paraId="7BD524A4">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10FB98D5">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第14.1（5）项</w:t>
            </w:r>
          </w:p>
        </w:tc>
        <w:tc>
          <w:tcPr>
            <w:tcW w:w="1789" w:type="dxa"/>
            <w:noWrap w:val="0"/>
            <w:vAlign w:val="center"/>
          </w:tcPr>
          <w:p w14:paraId="15154301">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货物回收的约定</w:t>
            </w:r>
          </w:p>
        </w:tc>
        <w:tc>
          <w:tcPr>
            <w:tcW w:w="5599" w:type="dxa"/>
            <w:noWrap w:val="0"/>
            <w:vAlign w:val="center"/>
          </w:tcPr>
          <w:p w14:paraId="2AF27910">
            <w:pPr>
              <w:spacing w:line="240" w:lineRule="auto"/>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w:t>
            </w:r>
          </w:p>
        </w:tc>
      </w:tr>
      <w:tr w14:paraId="42F5173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03E02CB1">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7E79F17F">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第14.1（6）项</w:t>
            </w:r>
          </w:p>
        </w:tc>
        <w:tc>
          <w:tcPr>
            <w:tcW w:w="1789" w:type="dxa"/>
            <w:noWrap w:val="0"/>
            <w:vAlign w:val="center"/>
          </w:tcPr>
          <w:p w14:paraId="2184F3C2">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乙方提供的其他服务</w:t>
            </w:r>
          </w:p>
        </w:tc>
        <w:tc>
          <w:tcPr>
            <w:tcW w:w="5599" w:type="dxa"/>
            <w:noWrap w:val="0"/>
            <w:vAlign w:val="center"/>
          </w:tcPr>
          <w:p w14:paraId="54D855B1">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1.所有货物免费送达甲方指定地点，货物的托运、安装及预装常用软件（如需要）等，均不需另行付费。</w:t>
            </w:r>
          </w:p>
          <w:p w14:paraId="0E086E6D">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2.项目实施期间乙方人员安全和财产损失均由乙方负责，与甲方无涉。</w:t>
            </w:r>
          </w:p>
          <w:p w14:paraId="14FFDD1B">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3.根据厂方的规定对所供货物进行保修，在质量保证期内，乙方不得收取任何费用；质量保证期满后，乙方对用户货物的维修，只收成本费，并提供终生技术服务。</w:t>
            </w:r>
          </w:p>
          <w:p w14:paraId="0ADD939F">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4.如甲方使用不当造成货物的毁损，乙方有义务协助维修。</w:t>
            </w:r>
          </w:p>
        </w:tc>
      </w:tr>
      <w:tr w14:paraId="4D8B134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3EB68E77">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3DD09E77">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第15.1款</w:t>
            </w:r>
          </w:p>
        </w:tc>
        <w:tc>
          <w:tcPr>
            <w:tcW w:w="1789" w:type="dxa"/>
            <w:noWrap w:val="0"/>
            <w:vAlign w:val="center"/>
          </w:tcPr>
          <w:p w14:paraId="61E345A9">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修理、重</w:t>
            </w:r>
            <w:r>
              <w:rPr>
                <w:rFonts w:hint="eastAsia" w:ascii="仿宋" w:hAnsi="仿宋" w:eastAsia="仿宋" w:cs="仿宋"/>
                <w:color w:val="auto"/>
                <w:sz w:val="22"/>
                <w:szCs w:val="22"/>
                <w:highlight w:val="none"/>
                <w:lang w:eastAsia="zh-CN"/>
              </w:rPr>
              <w:t>做</w:t>
            </w:r>
            <w:r>
              <w:rPr>
                <w:rFonts w:hint="eastAsia" w:ascii="仿宋" w:hAnsi="仿宋" w:eastAsia="仿宋" w:cs="仿宋"/>
                <w:color w:val="auto"/>
                <w:sz w:val="22"/>
                <w:szCs w:val="22"/>
                <w:highlight w:val="none"/>
              </w:rPr>
              <w:t>、更换相关具体规定</w:t>
            </w:r>
          </w:p>
        </w:tc>
        <w:tc>
          <w:tcPr>
            <w:tcW w:w="5599" w:type="dxa"/>
            <w:noWrap w:val="0"/>
            <w:vAlign w:val="center"/>
          </w:tcPr>
          <w:p w14:paraId="007362A8">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详见合同通用条款8.2条款、合同专用条款第二节第8款补充条款及合同专用条款中索赔条款。</w:t>
            </w:r>
          </w:p>
          <w:p w14:paraId="4A5ABBDD">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1833B31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6FA1F186">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549644DC">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第15.2（2）项</w:t>
            </w:r>
          </w:p>
        </w:tc>
        <w:tc>
          <w:tcPr>
            <w:tcW w:w="1789" w:type="dxa"/>
            <w:noWrap w:val="0"/>
            <w:vAlign w:val="center"/>
          </w:tcPr>
          <w:p w14:paraId="6B0B39CB">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迟延交货赔偿费</w:t>
            </w:r>
          </w:p>
        </w:tc>
        <w:tc>
          <w:tcPr>
            <w:tcW w:w="5599" w:type="dxa"/>
            <w:noWrap w:val="0"/>
            <w:vAlign w:val="center"/>
          </w:tcPr>
          <w:p w14:paraId="65E0035D">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1.乙方应按照“开标（报价）一览表”中规定的交货期或承诺交货和提供服务，并交付甲方验收使用。</w:t>
            </w:r>
          </w:p>
          <w:p w14:paraId="45199946">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2.如果乙方无正当理由拖延交货，将受到以下制裁：加收误期赔偿或终止合同。</w:t>
            </w:r>
          </w:p>
          <w:p w14:paraId="5912B535">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 乙方逾期交付货物的，乙方应按逾期交货总额每日0.5% 向甲方支付违约金，由甲方从待付货款中扣除。逾期超过约定日期</w:t>
            </w:r>
            <w:r>
              <w:rPr>
                <w:rFonts w:hint="eastAsia" w:ascii="仿宋" w:hAnsi="仿宋" w:eastAsia="仿宋" w:cs="仿宋"/>
                <w:color w:val="auto"/>
                <w:sz w:val="22"/>
                <w:szCs w:val="22"/>
                <w:highlight w:val="none"/>
                <w:lang w:val="en-US" w:eastAsia="zh-CN"/>
              </w:rPr>
              <w:t>10</w:t>
            </w:r>
            <w:r>
              <w:rPr>
                <w:rFonts w:hint="eastAsia" w:ascii="仿宋" w:hAnsi="仿宋" w:eastAsia="仿宋" w:cs="仿宋"/>
                <w:color w:val="auto"/>
                <w:sz w:val="22"/>
                <w:szCs w:val="22"/>
                <w:highlight w:val="none"/>
              </w:rPr>
              <w:t>个工作日不能交货的，甲方可解除本合同。乙方因逾期交货或因其他违约行为导致甲方解除合同的，乙方应向甲方支付合同总值</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rPr>
              <w:t>的违约金，如造成甲方损失超过违约金的，超出部分由乙方继续承担赔偿责任。</w:t>
            </w:r>
          </w:p>
          <w:p w14:paraId="6E588A4B">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4.如乙方不能交付货物，或者有违法转包他人情形，乙方应向甲方支付合同总价</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rPr>
              <w:t>的滞纳金。</w:t>
            </w:r>
          </w:p>
          <w:p w14:paraId="477B93D4">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p>
        </w:tc>
      </w:tr>
      <w:tr w14:paraId="76E7A61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noWrap w:val="0"/>
            <w:vAlign w:val="center"/>
          </w:tcPr>
          <w:p w14:paraId="7519B417">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0D7E8964">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第15.3款</w:t>
            </w:r>
          </w:p>
        </w:tc>
        <w:tc>
          <w:tcPr>
            <w:tcW w:w="1789" w:type="dxa"/>
            <w:noWrap w:val="0"/>
            <w:vAlign w:val="center"/>
          </w:tcPr>
          <w:p w14:paraId="435C82AC">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逾期付款利息</w:t>
            </w:r>
          </w:p>
        </w:tc>
        <w:tc>
          <w:tcPr>
            <w:tcW w:w="5599" w:type="dxa"/>
            <w:noWrap w:val="0"/>
            <w:vAlign w:val="center"/>
          </w:tcPr>
          <w:p w14:paraId="41C32181">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甲方无故逾期验收和办理合同款项支付手续的, 将按银行同期存款利率支付逾期付款部分的利息。</w:t>
            </w:r>
          </w:p>
        </w:tc>
      </w:tr>
      <w:tr w14:paraId="23AFB5A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jc w:val="center"/>
        </w:trPr>
        <w:tc>
          <w:tcPr>
            <w:tcW w:w="1560" w:type="dxa"/>
            <w:tcBorders>
              <w:bottom w:val="single" w:color="000000" w:sz="2" w:space="0"/>
              <w:right w:val="single" w:color="000000" w:sz="2" w:space="0"/>
            </w:tcBorders>
            <w:noWrap w:val="0"/>
            <w:vAlign w:val="center"/>
          </w:tcPr>
          <w:p w14:paraId="7FAFAD40">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7F7693C7">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第15.4款</w:t>
            </w:r>
          </w:p>
        </w:tc>
        <w:tc>
          <w:tcPr>
            <w:tcW w:w="1789" w:type="dxa"/>
            <w:tcBorders>
              <w:left w:val="single" w:color="000000" w:sz="2" w:space="0"/>
              <w:bottom w:val="single" w:color="000000" w:sz="2" w:space="0"/>
              <w:right w:val="single" w:color="000000" w:sz="2" w:space="0"/>
            </w:tcBorders>
            <w:noWrap w:val="0"/>
            <w:vAlign w:val="center"/>
          </w:tcPr>
          <w:p w14:paraId="6A924950">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其他违约责任</w:t>
            </w:r>
          </w:p>
        </w:tc>
        <w:tc>
          <w:tcPr>
            <w:tcW w:w="5599" w:type="dxa"/>
            <w:tcBorders>
              <w:left w:val="single" w:color="000000" w:sz="2" w:space="0"/>
              <w:bottom w:val="single" w:color="000000" w:sz="2" w:space="0"/>
            </w:tcBorders>
            <w:noWrap w:val="0"/>
            <w:vAlign w:val="center"/>
          </w:tcPr>
          <w:p w14:paraId="5074D38A">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1、乙方交付合同标的的标准不符合合同规定及招标文件规定标准的，甲方有权拒绝接受合同标的，并可单方面解除合同。</w:t>
            </w:r>
          </w:p>
          <w:p w14:paraId="57187AD1">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2、详见附件</w:t>
            </w:r>
          </w:p>
        </w:tc>
      </w:tr>
      <w:tr w14:paraId="287EFE7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0" w:type="dxa"/>
            <w:tcBorders>
              <w:top w:val="single" w:color="000000" w:sz="2" w:space="0"/>
              <w:right w:val="single" w:color="000000" w:sz="2" w:space="0"/>
            </w:tcBorders>
            <w:noWrap w:val="0"/>
            <w:vAlign w:val="center"/>
          </w:tcPr>
          <w:p w14:paraId="6CC2680A">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156825D8">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第19.2款</w:t>
            </w:r>
          </w:p>
        </w:tc>
        <w:tc>
          <w:tcPr>
            <w:tcW w:w="1789" w:type="dxa"/>
            <w:tcBorders>
              <w:top w:val="single" w:color="000000" w:sz="2" w:space="0"/>
              <w:left w:val="single" w:color="000000" w:sz="2" w:space="0"/>
              <w:right w:val="single" w:color="000000" w:sz="2" w:space="0"/>
            </w:tcBorders>
            <w:noWrap w:val="0"/>
            <w:vAlign w:val="center"/>
          </w:tcPr>
          <w:p w14:paraId="6B03FBB6">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解决争议的方法</w:t>
            </w:r>
          </w:p>
        </w:tc>
        <w:tc>
          <w:tcPr>
            <w:tcW w:w="5599" w:type="dxa"/>
            <w:tcBorders>
              <w:top w:val="single" w:color="000000" w:sz="2" w:space="0"/>
              <w:left w:val="single" w:color="000000" w:sz="2" w:space="0"/>
            </w:tcBorders>
            <w:noWrap w:val="0"/>
            <w:vAlign w:val="center"/>
          </w:tcPr>
          <w:p w14:paraId="5FBD0DFC">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1.因本合同及合同有关事项发生的争议，由双方协商解决，协商不成时，按下列第</w:t>
            </w:r>
            <w:r>
              <w:rPr>
                <w:rFonts w:hint="eastAsia" w:ascii="仿宋" w:hAnsi="仿宋" w:eastAsia="仿宋" w:cs="仿宋"/>
                <w:color w:val="auto"/>
                <w:sz w:val="22"/>
                <w:szCs w:val="22"/>
                <w:highlight w:val="none"/>
                <w:u w:val="single"/>
              </w:rPr>
              <w:t>（2）</w:t>
            </w:r>
            <w:r>
              <w:rPr>
                <w:rFonts w:hint="eastAsia" w:ascii="仿宋" w:hAnsi="仿宋" w:eastAsia="仿宋" w:cs="仿宋"/>
                <w:color w:val="auto"/>
                <w:sz w:val="22"/>
                <w:szCs w:val="22"/>
                <w:highlight w:val="none"/>
              </w:rPr>
              <w:t>种方式解决：</w:t>
            </w:r>
          </w:p>
          <w:p w14:paraId="3BAAB9A6">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（1）向仲裁委员会申请仲裁，仲裁地点为</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w:t>
            </w:r>
          </w:p>
          <w:p w14:paraId="156BA2B7">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（2）向甲方所在地人民法院起诉。</w:t>
            </w:r>
          </w:p>
          <w:p w14:paraId="437E67EB">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 纠纷解决办法</w:t>
            </w:r>
          </w:p>
          <w:p w14:paraId="5C1A384D">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206F4B6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noWrap w:val="0"/>
            <w:vAlign w:val="center"/>
          </w:tcPr>
          <w:p w14:paraId="18F74D39">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第二节</w:t>
            </w:r>
          </w:p>
          <w:p w14:paraId="66E070EA">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第23.1款</w:t>
            </w:r>
          </w:p>
        </w:tc>
        <w:tc>
          <w:tcPr>
            <w:tcW w:w="1789" w:type="dxa"/>
            <w:noWrap w:val="0"/>
            <w:vAlign w:val="center"/>
          </w:tcPr>
          <w:p w14:paraId="12F70246">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rPr>
              <w:t>其他专用条款</w:t>
            </w:r>
          </w:p>
        </w:tc>
        <w:tc>
          <w:tcPr>
            <w:tcW w:w="5599" w:type="dxa"/>
            <w:noWrap w:val="0"/>
            <w:vAlign w:val="center"/>
          </w:tcPr>
          <w:p w14:paraId="5956DF2D">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15D17AFA">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2EE2FB52">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3.验收不合格的货物，乙方应在</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10</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个工作日内予以更换，逾期按交货延误予以处罚。乙方所交付的货物品种、型号、规格不符合合同规定的，甲方有权拒收。甲方拒收的，乙方向甲方支付货款总额</w:t>
            </w:r>
            <w:r>
              <w:rPr>
                <w:rFonts w:hint="eastAsia" w:ascii="仿宋" w:hAnsi="仿宋" w:eastAsia="仿宋" w:cs="仿宋"/>
                <w:color w:val="auto"/>
                <w:sz w:val="22"/>
                <w:szCs w:val="22"/>
                <w:highlight w:val="none"/>
                <w:u w:val="single"/>
                <w:lang w:val="en-US" w:eastAsia="zh-CN"/>
              </w:rPr>
              <w:t>5</w:t>
            </w:r>
            <w:r>
              <w:rPr>
                <w:rFonts w:hint="eastAsia" w:ascii="仿宋" w:hAnsi="仿宋" w:eastAsia="仿宋" w:cs="仿宋"/>
                <w:color w:val="auto"/>
                <w:sz w:val="22"/>
                <w:szCs w:val="22"/>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464CFF78">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4.货物验收要求</w:t>
            </w:r>
          </w:p>
          <w:p w14:paraId="049A5D87">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（1）依照招标文件要求对全部货物、型号、规格、数量、外型、外观、包装及资料、文件（如装箱单、保修单、随箱介质等）进行验收。</w:t>
            </w:r>
          </w:p>
          <w:p w14:paraId="4A532367">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（2）甲方与乙方对货物到货后共同进行开箱检查，出现损坏、数量不全或产品不对等问题时，由乙方负责解决。</w:t>
            </w:r>
          </w:p>
          <w:p w14:paraId="747E3095">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（3）甲方有权从乙方所送货物中任意抽出不同型号的产品送采购人所在地的质检部门检验，如果检验合格，检验费由甲方负担；如果检验不合格，则检验费由乙方负担。</w:t>
            </w:r>
          </w:p>
          <w:p w14:paraId="5B910521">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（4）乙方应按照本合同规定的时间、地点和方式向乙方交付货物。</w:t>
            </w:r>
          </w:p>
          <w:p w14:paraId="2E0C9141">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交货时间：</w:t>
            </w:r>
            <w:r>
              <w:rPr>
                <w:rFonts w:hint="eastAsia" w:ascii="仿宋" w:hAnsi="仿宋" w:eastAsia="仿宋" w:cs="仿宋"/>
                <w:color w:val="auto"/>
                <w:sz w:val="22"/>
                <w:szCs w:val="22"/>
                <w:highlight w:val="none"/>
                <w:lang w:val="en-US" w:eastAsia="zh-CN"/>
              </w:rPr>
              <w:t>合同签订之日起</w:t>
            </w:r>
            <w:r>
              <w:rPr>
                <w:rFonts w:hint="eastAsia" w:ascii="仿宋" w:hAnsi="仿宋" w:eastAsia="仿宋" w:cs="仿宋"/>
                <w:color w:val="auto"/>
                <w:sz w:val="22"/>
                <w:szCs w:val="22"/>
                <w:highlight w:val="none"/>
                <w:u w:val="single"/>
                <w:lang w:val="en-US" w:eastAsia="zh-CN"/>
              </w:rPr>
              <w:t>30</w:t>
            </w:r>
            <w:r>
              <w:rPr>
                <w:rFonts w:hint="eastAsia" w:ascii="仿宋" w:hAnsi="仿宋" w:eastAsia="仿宋" w:cs="仿宋"/>
                <w:color w:val="auto"/>
                <w:sz w:val="22"/>
                <w:szCs w:val="22"/>
                <w:highlight w:val="none"/>
              </w:rPr>
              <w:t>日</w:t>
            </w:r>
            <w:r>
              <w:rPr>
                <w:rFonts w:hint="eastAsia" w:ascii="仿宋" w:hAnsi="仿宋" w:eastAsia="仿宋" w:cs="仿宋"/>
                <w:color w:val="auto"/>
                <w:sz w:val="22"/>
                <w:szCs w:val="22"/>
                <w:highlight w:val="none"/>
                <w:lang w:val="en-US" w:eastAsia="zh-CN"/>
              </w:rPr>
              <w:t>内</w:t>
            </w:r>
            <w:r>
              <w:rPr>
                <w:rFonts w:hint="eastAsia" w:ascii="仿宋" w:hAnsi="仿宋" w:eastAsia="仿宋" w:cs="仿宋"/>
                <w:color w:val="auto"/>
                <w:sz w:val="22"/>
                <w:szCs w:val="22"/>
                <w:highlight w:val="none"/>
              </w:rPr>
              <w:t>完成供货（安装）并交付使用。</w:t>
            </w:r>
          </w:p>
          <w:p w14:paraId="11A40356">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交货地点：</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东台市（采购人指定地点）</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w:t>
            </w:r>
          </w:p>
          <w:p w14:paraId="75B4DB64">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（5）甲方应在全部货物到货安装完毕后</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乙方提出验收申请之日起</w:t>
            </w:r>
            <w:r>
              <w:rPr>
                <w:rFonts w:hint="eastAsia" w:ascii="仿宋" w:hAnsi="仿宋" w:eastAsia="仿宋" w:cs="仿宋"/>
                <w:color w:val="auto"/>
                <w:sz w:val="22"/>
                <w:szCs w:val="22"/>
                <w:highlight w:val="none"/>
              </w:rPr>
              <w:t>的</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7</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日内进行验收，验收包括：型号、规格、数量、外观是否完好，安装调试是否合格等。验收合格后甲方应在验收报告上签字盖章。</w:t>
            </w:r>
          </w:p>
          <w:p w14:paraId="2327F37C">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货到现场后，甲方人员根据招标要求，对包装物进行视检和抽检，如包装物不符合招标要求，甲方有权将包装物送至市级及以上检测机构送检。因检测不合格延误了交付进度，乙方应承担相应的违约责任和经济赔偿责任。</w:t>
            </w:r>
          </w:p>
        </w:tc>
      </w:tr>
      <w:tr w14:paraId="3C54106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noWrap w:val="0"/>
            <w:vAlign w:val="center"/>
          </w:tcPr>
          <w:p w14:paraId="41EEF63C">
            <w:pPr>
              <w:spacing w:line="240" w:lineRule="auto"/>
              <w:jc w:val="center"/>
              <w:rPr>
                <w:rFonts w:hint="eastAsia" w:ascii="仿宋" w:hAnsi="仿宋" w:eastAsia="仿宋" w:cs="仿宋"/>
                <w:color w:val="auto"/>
                <w:sz w:val="22"/>
                <w:szCs w:val="22"/>
                <w:highlight w:val="none"/>
              </w:rPr>
            </w:pPr>
          </w:p>
        </w:tc>
        <w:tc>
          <w:tcPr>
            <w:tcW w:w="1789" w:type="dxa"/>
            <w:noWrap w:val="0"/>
            <w:vAlign w:val="center"/>
          </w:tcPr>
          <w:p w14:paraId="4B5A65B1">
            <w:pPr>
              <w:spacing w:line="240" w:lineRule="auto"/>
              <w:jc w:val="center"/>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税费</w:t>
            </w:r>
          </w:p>
        </w:tc>
        <w:tc>
          <w:tcPr>
            <w:tcW w:w="5599" w:type="dxa"/>
            <w:noWrap w:val="0"/>
            <w:vAlign w:val="center"/>
          </w:tcPr>
          <w:p w14:paraId="4244A88A">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1.中国政府根据现行税法规定对甲方征收的与本合同有关的一切税费均由甲方负担（免税部分除外），招标文件另有规定的除外。</w:t>
            </w:r>
          </w:p>
          <w:p w14:paraId="337C9E11">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2.中国政府根据现行税法规定对乙方征收的与本合同有关的一切税费均由乙方负担（免税部分除外）。</w:t>
            </w:r>
          </w:p>
        </w:tc>
      </w:tr>
      <w:tr w14:paraId="34D4331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noWrap w:val="0"/>
            <w:vAlign w:val="center"/>
          </w:tcPr>
          <w:p w14:paraId="70A612BB">
            <w:pPr>
              <w:spacing w:line="240" w:lineRule="auto"/>
              <w:jc w:val="center"/>
              <w:rPr>
                <w:rFonts w:hint="eastAsia" w:ascii="仿宋" w:hAnsi="仿宋" w:eastAsia="仿宋" w:cs="仿宋"/>
                <w:color w:val="auto"/>
                <w:sz w:val="22"/>
                <w:szCs w:val="22"/>
                <w:highlight w:val="none"/>
              </w:rPr>
            </w:pPr>
          </w:p>
        </w:tc>
        <w:tc>
          <w:tcPr>
            <w:tcW w:w="1789" w:type="dxa"/>
            <w:noWrap w:val="0"/>
            <w:vAlign w:val="center"/>
          </w:tcPr>
          <w:p w14:paraId="1DEAF39B">
            <w:pPr>
              <w:spacing w:line="240" w:lineRule="auto"/>
              <w:jc w:val="center"/>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伴随服务</w:t>
            </w:r>
          </w:p>
        </w:tc>
        <w:tc>
          <w:tcPr>
            <w:tcW w:w="5599" w:type="dxa"/>
            <w:noWrap w:val="0"/>
            <w:vAlign w:val="center"/>
          </w:tcPr>
          <w:p w14:paraId="5EF1643F">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1.乙方应按照国家</w:t>
            </w:r>
            <w:r>
              <w:rPr>
                <w:rFonts w:hint="eastAsia" w:ascii="仿宋" w:hAnsi="仿宋" w:eastAsia="仿宋" w:cs="仿宋"/>
                <w:b/>
                <w:color w:val="auto"/>
                <w:sz w:val="22"/>
                <w:szCs w:val="22"/>
                <w:highlight w:val="none"/>
              </w:rPr>
              <w:t>“新三包”</w:t>
            </w:r>
            <w:r>
              <w:rPr>
                <w:rFonts w:hint="eastAsia" w:ascii="仿宋" w:hAnsi="仿宋" w:eastAsia="仿宋" w:cs="仿宋"/>
                <w:color w:val="auto"/>
                <w:sz w:val="22"/>
                <w:szCs w:val="22"/>
                <w:highlight w:val="none"/>
              </w:rPr>
              <w:t>规定和合同中所附的服务承诺提供服务。</w:t>
            </w:r>
          </w:p>
          <w:p w14:paraId="0DC4FCBD">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2.除第1条规定外，乙方还应提供下列服务：</w:t>
            </w:r>
          </w:p>
          <w:p w14:paraId="7780B245">
            <w:pPr>
              <w:keepNext w:val="0"/>
              <w:keepLines w:val="0"/>
              <w:pageBreakBefore w:val="0"/>
              <w:widowControl w:val="0"/>
              <w:spacing w:line="240" w:lineRule="auto"/>
              <w:ind w:firstLine="442"/>
              <w:jc w:val="both"/>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(1) 招标文件中的“服务要求”所规定的服务内容以及投标文件承诺提供的其他服务内容；</w:t>
            </w:r>
          </w:p>
          <w:p w14:paraId="65E5AC6C">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 负责货物的开孔，货物的现场安装；</w:t>
            </w:r>
          </w:p>
          <w:p w14:paraId="7538C65B">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 提供货物组装和维修所需的工具；</w:t>
            </w:r>
          </w:p>
          <w:p w14:paraId="672745B8">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 在合同中乙方承诺的质保期限内对所提供货物正常使用实施监督、维修，但前提条件是该服务并不能免除乙方在质量保证期内应承担的义务；</w:t>
            </w:r>
          </w:p>
          <w:p w14:paraId="3083C317">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 在货物交货现场就货物的安装、启用、维护等对甲方人员进行培训。</w:t>
            </w:r>
          </w:p>
          <w:p w14:paraId="52148DD5">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3.伴随服务的费用应含在合同价中，不单独进行支付。</w:t>
            </w:r>
          </w:p>
        </w:tc>
      </w:tr>
      <w:tr w14:paraId="1CBE463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noWrap w:val="0"/>
            <w:vAlign w:val="center"/>
          </w:tcPr>
          <w:p w14:paraId="122EE2BC">
            <w:pPr>
              <w:spacing w:line="240" w:lineRule="auto"/>
              <w:jc w:val="center"/>
              <w:rPr>
                <w:rFonts w:hint="eastAsia" w:ascii="仿宋" w:hAnsi="仿宋" w:eastAsia="仿宋" w:cs="仿宋"/>
                <w:color w:val="auto"/>
                <w:sz w:val="22"/>
                <w:szCs w:val="22"/>
                <w:highlight w:val="none"/>
              </w:rPr>
            </w:pPr>
          </w:p>
        </w:tc>
        <w:tc>
          <w:tcPr>
            <w:tcW w:w="1789" w:type="dxa"/>
            <w:noWrap w:val="0"/>
            <w:vAlign w:val="center"/>
          </w:tcPr>
          <w:p w14:paraId="636E143C">
            <w:pPr>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索赔</w:t>
            </w:r>
          </w:p>
          <w:p w14:paraId="4062BF62">
            <w:pPr>
              <w:spacing w:line="240" w:lineRule="auto"/>
              <w:jc w:val="center"/>
              <w:rPr>
                <w:rFonts w:hint="eastAsia" w:ascii="仿宋" w:hAnsi="仿宋" w:eastAsia="仿宋" w:cs="仿宋"/>
                <w:color w:val="auto"/>
                <w:sz w:val="22"/>
                <w:szCs w:val="22"/>
                <w:highlight w:val="none"/>
              </w:rPr>
            </w:pPr>
          </w:p>
        </w:tc>
        <w:tc>
          <w:tcPr>
            <w:tcW w:w="5599" w:type="dxa"/>
            <w:noWrap w:val="0"/>
            <w:vAlign w:val="center"/>
          </w:tcPr>
          <w:p w14:paraId="4D3D2EBF">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1.甲方有权根据当地质检部门出具的检验报告，向乙方提出索赔。</w:t>
            </w:r>
          </w:p>
          <w:p w14:paraId="183A4C5E">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2.根据合同规定的检验期和质量保证期内，如果乙方对甲方提出的索赔和差异负有责任，乙方应按照甲方同意的下列一种或多种方式解决索赔事宜：</w:t>
            </w:r>
          </w:p>
          <w:p w14:paraId="1A32EFD2">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 乙方同意退货，并用合同中规定的货币将货款退还给甲方，并承担由此发生的一切损失和费用，包括利息、银行手续费、运费、保险费、检验费、仓储费、装卸费以及为保护退回货物所需的其它必要费用。</w:t>
            </w:r>
          </w:p>
          <w:p w14:paraId="0C974049">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 根据货物的低劣程度、损坏程度以及甲方所遭受损失的数额，乙方必须降低货物的价格。</w:t>
            </w:r>
          </w:p>
          <w:p w14:paraId="41273395">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1A3C9F9B">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58192B6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noWrap w:val="0"/>
            <w:vAlign w:val="center"/>
          </w:tcPr>
          <w:p w14:paraId="7835DABD">
            <w:pPr>
              <w:keepNext w:val="0"/>
              <w:keepLines w:val="0"/>
              <w:pageBreakBefore w:val="0"/>
              <w:widowControl w:val="0"/>
              <w:spacing w:line="240" w:lineRule="auto"/>
              <w:jc w:val="center"/>
              <w:rPr>
                <w:rFonts w:hint="eastAsia" w:ascii="仿宋" w:hAnsi="仿宋" w:eastAsia="仿宋" w:cs="仿宋"/>
                <w:color w:val="auto"/>
                <w:sz w:val="22"/>
                <w:szCs w:val="22"/>
                <w:highlight w:val="none"/>
              </w:rPr>
            </w:pPr>
          </w:p>
        </w:tc>
        <w:tc>
          <w:tcPr>
            <w:tcW w:w="1789" w:type="dxa"/>
            <w:noWrap w:val="0"/>
            <w:vAlign w:val="center"/>
          </w:tcPr>
          <w:p w14:paraId="32C13AD6">
            <w:pPr>
              <w:keepNext w:val="0"/>
              <w:keepLines w:val="0"/>
              <w:pageBreakBefore w:val="0"/>
              <w:widowControl w:val="0"/>
              <w:spacing w:line="24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合同生效</w:t>
            </w:r>
            <w:r>
              <w:rPr>
                <w:rFonts w:hint="eastAsia" w:ascii="仿宋" w:hAnsi="仿宋" w:eastAsia="仿宋" w:cs="仿宋"/>
                <w:color w:val="auto"/>
                <w:sz w:val="22"/>
                <w:szCs w:val="22"/>
                <w:highlight w:val="none"/>
                <w:lang w:eastAsia="zh-CN"/>
              </w:rPr>
              <w:t>及其他</w:t>
            </w:r>
          </w:p>
          <w:p w14:paraId="0F391C70">
            <w:pPr>
              <w:keepNext w:val="0"/>
              <w:keepLines w:val="0"/>
              <w:pageBreakBefore w:val="0"/>
              <w:widowControl w:val="0"/>
              <w:spacing w:line="240" w:lineRule="auto"/>
              <w:jc w:val="center"/>
              <w:rPr>
                <w:rFonts w:hint="eastAsia" w:ascii="仿宋" w:hAnsi="仿宋" w:eastAsia="仿宋" w:cs="仿宋"/>
                <w:bCs/>
                <w:color w:val="auto"/>
                <w:sz w:val="22"/>
                <w:szCs w:val="22"/>
                <w:highlight w:val="none"/>
              </w:rPr>
            </w:pPr>
          </w:p>
        </w:tc>
        <w:tc>
          <w:tcPr>
            <w:tcW w:w="5599" w:type="dxa"/>
            <w:noWrap w:val="0"/>
            <w:vAlign w:val="center"/>
          </w:tcPr>
          <w:p w14:paraId="3EE6BC64">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 合同经甲方、乙方盖章后生效。</w:t>
            </w:r>
          </w:p>
          <w:p w14:paraId="44DB0259">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 货物交付使用后所发生的合同纠纷，由甲方与乙方协商处理。</w:t>
            </w:r>
          </w:p>
          <w:p w14:paraId="61DDA25C">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6802CB02">
            <w:pPr>
              <w:keepNext w:val="0"/>
              <w:keepLines w:val="0"/>
              <w:pageBreakBefore w:val="0"/>
              <w:widowControl w:val="0"/>
              <w:spacing w:line="240" w:lineRule="auto"/>
              <w:ind w:firstLine="44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4.本合同应按照中华人民共和国的现行法律进行解释。本合同未尽事宜，遵照《民法典》、《政府采购法》、国家法律法规、行业规范等有关条文执行。</w:t>
            </w:r>
          </w:p>
        </w:tc>
      </w:tr>
    </w:tbl>
    <w:p w14:paraId="54D1D7DA">
      <w:pPr>
        <w:pStyle w:val="33"/>
        <w:spacing w:before="120" w:beforeAutospacing="0" w:after="120" w:afterAutospacing="0" w:line="0" w:lineRule="atLeast"/>
        <w:jc w:val="center"/>
        <w:rPr>
          <w:rFonts w:hint="eastAsia" w:ascii="黑体" w:hAnsi="宋体" w:eastAsia="黑体" w:cs="黑体"/>
          <w:color w:val="auto"/>
          <w:sz w:val="44"/>
          <w:szCs w:val="44"/>
          <w:highlight w:val="none"/>
        </w:rPr>
      </w:pPr>
    </w:p>
    <w:p w14:paraId="1E4A3AB5">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p>
    <w:p w14:paraId="01E30502">
      <w:pPr>
        <w:pStyle w:val="33"/>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57"/>
      <w:r>
        <w:rPr>
          <w:rFonts w:hint="eastAsia" w:ascii="黑体" w:hAnsi="宋体" w:eastAsia="黑体" w:cs="黑体"/>
          <w:color w:val="auto"/>
          <w:sz w:val="44"/>
          <w:szCs w:val="44"/>
          <w:highlight w:val="none"/>
        </w:rPr>
        <w:t>四章 采购需求</w:t>
      </w:r>
      <w:bookmarkEnd w:id="158"/>
      <w:bookmarkEnd w:id="159"/>
      <w:bookmarkEnd w:id="160"/>
      <w:bookmarkEnd w:id="161"/>
      <w:bookmarkEnd w:id="162"/>
    </w:p>
    <w:p w14:paraId="6744070B">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shd w:val="clear" w:color="auto" w:fill="auto"/>
        </w:rPr>
      </w:pPr>
      <w:bookmarkStart w:id="170" w:name="_Toc26554093"/>
      <w:bookmarkStart w:id="171" w:name="_Toc49090575"/>
      <w:r>
        <w:rPr>
          <w:rFonts w:hint="eastAsia" w:ascii="宋体" w:hAnsi="宋体" w:eastAsia="宋体" w:cs="宋体"/>
          <w:color w:val="auto"/>
          <w:sz w:val="24"/>
          <w:szCs w:val="24"/>
          <w:highlight w:val="none"/>
        </w:rPr>
        <w:t>项目属性:货物类项目</w:t>
      </w:r>
      <w:r>
        <w:rPr>
          <w:rFonts w:hint="eastAsia" w:ascii="宋体" w:hAnsi="宋体" w:eastAsia="宋体" w:cs="宋体"/>
          <w:color w:val="auto"/>
          <w:sz w:val="24"/>
          <w:szCs w:val="24"/>
          <w:highlight w:val="none"/>
          <w:shd w:val="clear" w:color="auto" w:fill="auto"/>
        </w:rPr>
        <w:t>。（此为固定内容）</w:t>
      </w:r>
      <w:bookmarkEnd w:id="170"/>
      <w:bookmarkEnd w:id="171"/>
    </w:p>
    <w:p w14:paraId="6B1C05CE">
      <w:pPr>
        <w:pStyle w:val="33"/>
        <w:keepNext w:val="0"/>
        <w:keepLines w:val="0"/>
        <w:pageBreakBefore w:val="0"/>
        <w:widowControl w:val="0"/>
        <w:spacing w:beforeAutospacing="0" w:afterAutospacing="0" w:line="360" w:lineRule="auto"/>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1001687C">
      <w:pPr>
        <w:pStyle w:val="33"/>
        <w:keepNext w:val="0"/>
        <w:keepLines w:val="0"/>
        <w:pageBreakBefore w:val="0"/>
        <w:widowControl w:val="0"/>
        <w:spacing w:beforeAutospacing="0" w:afterAutospacing="0" w:line="360" w:lineRule="auto"/>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08F598C9">
      <w:pPr>
        <w:keepNext w:val="0"/>
        <w:keepLines w:val="0"/>
        <w:pageBreakBefore w:val="0"/>
        <w:widowControl w:val="0"/>
        <w:spacing w:line="460" w:lineRule="exact"/>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其内容包含：</w:t>
      </w:r>
    </w:p>
    <w:p w14:paraId="5B357EE0">
      <w:pPr>
        <w:keepNext w:val="0"/>
        <w:keepLines w:val="0"/>
        <w:pageBreakBefore w:val="0"/>
        <w:widowControl w:val="0"/>
        <w:numPr>
          <w:ilvl w:val="0"/>
          <w:numId w:val="0"/>
        </w:numPr>
        <w:spacing w:line="460" w:lineRule="exact"/>
        <w:ind w:firstLine="562"/>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一、</w:t>
      </w:r>
      <w:r>
        <w:rPr>
          <w:rFonts w:hint="eastAsia" w:asciiTheme="minorEastAsia" w:hAnsiTheme="minorEastAsia" w:eastAsiaTheme="minorEastAsia" w:cstheme="minorEastAsia"/>
          <w:b/>
          <w:bCs/>
          <w:color w:val="auto"/>
          <w:sz w:val="24"/>
          <w:szCs w:val="24"/>
          <w:highlight w:val="none"/>
          <w:lang w:val="en-US" w:eastAsia="zh-CN"/>
        </w:rPr>
        <w:t>采购内容</w:t>
      </w:r>
      <w:r>
        <w:rPr>
          <w:rFonts w:hint="eastAsia" w:asciiTheme="minorEastAsia" w:hAnsiTheme="minorEastAsia" w:cstheme="minorEastAsia"/>
          <w:b/>
          <w:bCs/>
          <w:color w:val="auto"/>
          <w:sz w:val="24"/>
          <w:szCs w:val="24"/>
          <w:highlight w:val="none"/>
          <w:lang w:val="en-US" w:eastAsia="zh-CN"/>
        </w:rPr>
        <w:t>：</w:t>
      </w:r>
    </w:p>
    <w:tbl>
      <w:tblPr>
        <w:tblStyle w:val="35"/>
        <w:tblW w:w="104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8"/>
        <w:gridCol w:w="5893"/>
        <w:gridCol w:w="1982"/>
        <w:gridCol w:w="1986"/>
      </w:tblGrid>
      <w:tr w14:paraId="41C51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111D1">
            <w:pPr>
              <w:keepNext w:val="0"/>
              <w:keepLines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D1A99">
            <w:pPr>
              <w:keepNext w:val="0"/>
              <w:keepLines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00D65">
            <w:pPr>
              <w:keepNext w:val="0"/>
              <w:keepLines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46639">
            <w:pPr>
              <w:keepNext w:val="0"/>
              <w:keepLines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单位</w:t>
            </w:r>
          </w:p>
        </w:tc>
      </w:tr>
      <w:tr w14:paraId="79DD7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061FA">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1</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E84DB">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穿戴式学生VR终端</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67610">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50</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2282C">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台</w:t>
            </w:r>
          </w:p>
        </w:tc>
      </w:tr>
      <w:tr w14:paraId="24FB0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02CCF">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2</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373AB">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穿戴式学生VR终端系统</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50103">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50</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98513">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套</w:t>
            </w:r>
          </w:p>
        </w:tc>
      </w:tr>
      <w:tr w14:paraId="69618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FF46F">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3</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08940">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教师端VR教学管理系统</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F41AF">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1</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49E17">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套</w:t>
            </w:r>
          </w:p>
        </w:tc>
      </w:tr>
      <w:tr w14:paraId="34B4A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2B205">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4</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CC7E0">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融合学科VR教学资源</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D07FF">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1</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AC017">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套</w:t>
            </w:r>
          </w:p>
        </w:tc>
      </w:tr>
      <w:tr w14:paraId="3AB59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AA2A6">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5</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6FCA2">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小学科学VR教学系统</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22D3B">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1</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094DE">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套</w:t>
            </w:r>
          </w:p>
        </w:tc>
      </w:tr>
      <w:tr w14:paraId="66525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E2E87">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6</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1A40F">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设备充电消毒一体柜</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6B9FD">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2</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C633A">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台</w:t>
            </w:r>
          </w:p>
        </w:tc>
      </w:tr>
      <w:tr w14:paraId="6FCAD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4EDD0">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7</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E6725">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无线AP</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C6DD5">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2</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E8563">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台</w:t>
            </w:r>
          </w:p>
        </w:tc>
      </w:tr>
      <w:tr w14:paraId="54A7A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C43F2">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8</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28A33">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裸眼XR便携终端</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56501">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 </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1B248">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台</w:t>
            </w:r>
          </w:p>
        </w:tc>
      </w:tr>
      <w:tr w14:paraId="2DA22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59134">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9</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387A9">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裸眼XR便携终端配件包</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CEF28">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 </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2ABB1">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套</w:t>
            </w:r>
          </w:p>
        </w:tc>
      </w:tr>
      <w:tr w14:paraId="4FA12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A2282">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10</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4B438">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偏振式3DVR便携式终端</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F9B72">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14</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4EBE9">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套</w:t>
            </w:r>
          </w:p>
        </w:tc>
      </w:tr>
      <w:tr w14:paraId="5186D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94EBD">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11</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93C7C">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观察眼镜</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0FCFB">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60</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A9A7C">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副</w:t>
            </w:r>
          </w:p>
        </w:tc>
      </w:tr>
      <w:tr w14:paraId="544D6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BFA1F">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12</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28F82">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VR资源制作软件</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29AA9">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1</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4B04D">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套</w:t>
            </w:r>
          </w:p>
        </w:tc>
      </w:tr>
      <w:tr w14:paraId="0F1EC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9B5AE">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13</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18F0B">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3D 智慧黑板</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A93C0">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2</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C6EFA">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台</w:t>
            </w:r>
          </w:p>
        </w:tc>
      </w:tr>
      <w:tr w14:paraId="20929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7A954">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14</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48F3A">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八边形操作台</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CFF24">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12</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7CA76">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套</w:t>
            </w:r>
          </w:p>
        </w:tc>
      </w:tr>
      <w:tr w14:paraId="1C176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A9F81">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15</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E519D">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全钢讲台</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90B74">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2</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4C0AC">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台</w:t>
            </w:r>
          </w:p>
        </w:tc>
      </w:tr>
      <w:tr w14:paraId="025B9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C4348">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16</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7D669">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学生凳</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7C915">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96</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139C3">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个</w:t>
            </w:r>
          </w:p>
        </w:tc>
      </w:tr>
      <w:tr w14:paraId="0F163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1022A">
            <w:pPr>
              <w:widowControl/>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17</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005E0">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储物柜</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560DA">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2</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C8376">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套</w:t>
            </w:r>
          </w:p>
        </w:tc>
      </w:tr>
      <w:tr w14:paraId="32F21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F9DB0">
            <w:pPr>
              <w:widowControl/>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18</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F3B65">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教室文化背景墙</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1C7E4">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80</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C0E5C">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平方</w:t>
            </w:r>
          </w:p>
        </w:tc>
      </w:tr>
      <w:tr w14:paraId="2D58F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55073">
            <w:pPr>
              <w:widowControl/>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19</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468A6">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铝方通造型</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47B97">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170</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EEB2A">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平米</w:t>
            </w:r>
          </w:p>
        </w:tc>
      </w:tr>
      <w:tr w14:paraId="6991A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31D84">
            <w:pPr>
              <w:widowControl/>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20</w:t>
            </w:r>
          </w:p>
        </w:tc>
        <w:tc>
          <w:tcPr>
            <w:tcW w:w="5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E48D2">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室内地板</w:t>
            </w:r>
          </w:p>
        </w:tc>
        <w:tc>
          <w:tcPr>
            <w:tcW w:w="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5E1AD">
            <w:pPr>
              <w:widowControl/>
              <w:jc w:val="center"/>
              <w:rPr>
                <w:rFonts w:hint="default"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170</w:t>
            </w:r>
          </w:p>
        </w:tc>
        <w:tc>
          <w:tcPr>
            <w:tcW w:w="1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B7EBD">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平米</w:t>
            </w:r>
          </w:p>
        </w:tc>
      </w:tr>
    </w:tbl>
    <w:p w14:paraId="3391BBB9">
      <w:pPr>
        <w:numPr>
          <w:ilvl w:val="0"/>
          <w:numId w:val="0"/>
        </w:numPr>
        <w:spacing w:line="460" w:lineRule="exact"/>
        <w:ind w:firstLine="482"/>
        <w:rPr>
          <w:rFonts w:hint="default"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本项目核心产品为：偏振式3DVR便携式终端</w:t>
      </w:r>
    </w:p>
    <w:p w14:paraId="37B38F9D">
      <w:pPr>
        <w:numPr>
          <w:ilvl w:val="0"/>
          <w:numId w:val="0"/>
        </w:numPr>
        <w:spacing w:line="460" w:lineRule="exact"/>
        <w:ind w:firstLine="482"/>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二、技术参数及要求：</w:t>
      </w:r>
    </w:p>
    <w:tbl>
      <w:tblPr>
        <w:tblStyle w:val="35"/>
        <w:tblW w:w="96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0"/>
        <w:gridCol w:w="2526"/>
        <w:gridCol w:w="5662"/>
        <w:gridCol w:w="427"/>
        <w:gridCol w:w="531"/>
      </w:tblGrid>
      <w:tr w14:paraId="55EB6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088A5A">
            <w:pPr>
              <w:keepNext w:val="0"/>
              <w:keepLines w:val="0"/>
              <w:pageBreakBefore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序号</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5BC4DF">
            <w:pPr>
              <w:keepNext w:val="0"/>
              <w:keepLines w:val="0"/>
              <w:pageBreakBefore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产品名称</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AA57B8">
            <w:pPr>
              <w:keepNext w:val="0"/>
              <w:keepLines w:val="0"/>
              <w:pageBreakBefore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规格参数</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8B9E54">
            <w:pPr>
              <w:keepNext w:val="0"/>
              <w:keepLines w:val="0"/>
              <w:pageBreakBefore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单位</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4B195C">
            <w:pPr>
              <w:keepNext w:val="0"/>
              <w:keepLines w:val="0"/>
              <w:pageBreakBefore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数量</w:t>
            </w:r>
          </w:p>
        </w:tc>
      </w:tr>
      <w:tr w14:paraId="638BF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11012">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88DD82">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穿戴式学生VR终端</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5763548">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1.CPU：≥8核64位，主频≥1.8GHz；GPU主频≥500MHz。</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2.内存：≥6GB</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3.存储：≥256GB</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4.无线：支持2X2 MIMO，WIFI6，2.4G/5G双频</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5.蓝牙：支持BT5.1及以上</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6.Android：Android 10 及以上</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7.屏幕：≥5.5 inch x 1 SFR TFT</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8.分辨率：≥3664x1920，刷新率：≥90Hz</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9.视场角：≥90°</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10瞳距调节：支持物理瞳距调节</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11.传感器：9轴，1KHz采样频率</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12.P-senor：人脸佩戴感应</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13.前置摄像头：鱼眼摄像头≥4，支持头部6DoF定位</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14.手柄：6DoF体感双手柄 ，支持光学定位、线性振动马达</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15.机身按键：电源键，APP键（返回键），确认键，Home键，音量加，音量减</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16.人体工程设计：采用电池后置，可替换泡棉</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17.电池：支持QC3.0快速充电,≥5000mAh</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18.扬声器：内置双立体声喇叭</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19.麦克风：双麦克降噪，全指向</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20.USB :支持usbType-C 3.0</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21.Led灯：三色Led 显示开机，关机，充电状态</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90CE53">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台</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566974">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50</w:t>
            </w:r>
          </w:p>
        </w:tc>
      </w:tr>
      <w:tr w14:paraId="49602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8B0B1">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5F5795">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穿戴式学生VR终端系统</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28A7D3B">
            <w:pPr>
              <w:keepNext w:val="0"/>
              <w:keepLines w:val="0"/>
              <w:pageBreakBefore w:val="0"/>
              <w:widowControl/>
              <w:numPr>
                <w:ilvl w:val="0"/>
                <w:numId w:val="7"/>
              </w:numPr>
              <w:suppressLineNumbers w:val="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支持开机自动进入设备系统，屏蔽与教育教学无关的图片、影视、游戏等内容；</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2.支持对已有 VR 资源进行资源集成、统一管理，学生端内部支持使用手柄进行选择、切换课程资源。</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 xml:space="preserve">3.兼容本项目中的所有VR资源，并能够动态添加新的VR资源。 </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4.课程资源参考“学科-教材-章节-课程资源”的形式直观展现，支持检查资源是否有新版本更新。</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★5.支持学生自由选择课程资源的自由学习模式和教师端锁定学生VR终端，教师指定打开课程资源的教师管控模式（提供上述功能的证明材料包括但不限于软件功能性截图、产品说明书或官网截图等）。</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6.接受并执行控制端的各种命令，同时向控制端反馈设备状态。</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7.支持新手引导功能（提供上述功能的证明材料包括但不限于软件功能性截图、产品说明书或官网截图等）。</w:t>
            </w:r>
          </w:p>
          <w:p w14:paraId="231ABFF4">
            <w:pPr>
              <w:keepNext w:val="0"/>
              <w:keepLines w:val="0"/>
              <w:pageBreakBefore w:val="0"/>
              <w:widowControl/>
              <w:numPr>
                <w:ilvl w:val="-1"/>
                <w:numId w:val="0"/>
              </w:numPr>
              <w:suppressLineNumbers w:val="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8.支持提交VR资源成绩至VR教学管理系统。</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★9.可调整视角观察场景现象（提供上述功能的证明材料包括但不限于软件功能性截图、产品说明书或官网截图等）。</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AA9A35">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套</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FC3E7B">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50</w:t>
            </w:r>
          </w:p>
        </w:tc>
      </w:tr>
      <w:tr w14:paraId="64956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6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CA39B">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7CE100">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教师端VR教学管理系统</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BF52963">
            <w:pPr>
              <w:numPr>
                <w:ilvl w:val="-1"/>
                <w:numId w:val="0"/>
              </w:numPr>
              <w:jc w:val="left"/>
              <w:rPr>
                <w:rFonts w:hint="default"/>
                <w:highlight w:val="none"/>
                <w:lang w:val="en-US" w:eastAsia="zh-CN"/>
              </w:rPr>
            </w:pPr>
            <w:r>
              <w:rPr>
                <w:rFonts w:hint="eastAsia" w:ascii="宋体" w:hAnsi="宋体" w:eastAsia="宋体" w:cs="宋体"/>
                <w:i w:val="0"/>
                <w:iCs w:val="0"/>
                <w:color w:val="auto"/>
                <w:sz w:val="21"/>
                <w:szCs w:val="21"/>
                <w:highlight w:val="none"/>
                <w:u w:val="none"/>
                <w:lang w:val="en-US" w:eastAsia="zh-CN" w:bidi="ar"/>
              </w:rPr>
              <w:t>管理所有学生端设备，实时监察设备各项信息。</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1.支持设备一键关机、重启等功能。</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2.可设置学生端设备为自由或管控模式。</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3.可进行课程资源相关管理、一键投屏管理、学生端设备统计和分析。</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★4.教师端支持查看学生端可视化数据统计，包含以下但不仅限于下述功能：</w:t>
            </w:r>
            <w:r>
              <w:rPr>
                <w:rFonts w:hint="eastAsia"/>
                <w:highlight w:val="none"/>
                <w:lang w:val="en-US" w:eastAsia="zh-CN"/>
              </w:rPr>
              <w:t>1</w:t>
            </w:r>
            <w:r>
              <w:rPr>
                <w:rFonts w:hint="eastAsia" w:ascii="宋体" w:hAnsi="宋体" w:eastAsia="宋体" w:cs="宋体"/>
                <w:i w:val="0"/>
                <w:iCs w:val="0"/>
                <w:color w:val="auto"/>
                <w:sz w:val="21"/>
                <w:szCs w:val="21"/>
                <w:highlight w:val="none"/>
                <w:u w:val="none"/>
                <w:lang w:val="en-US" w:eastAsia="zh-CN" w:bidi="ar"/>
              </w:rPr>
              <w:t>）</w:t>
            </w:r>
            <w:r>
              <w:rPr>
                <w:rFonts w:hint="eastAsia"/>
                <w:highlight w:val="none"/>
                <w:lang w:val="en-US" w:eastAsia="zh-CN"/>
              </w:rPr>
              <w:t>学习资源管理</w:t>
            </w:r>
          </w:p>
          <w:p w14:paraId="645FB89E">
            <w:pPr>
              <w:rPr>
                <w:rFonts w:hint="eastAsia"/>
                <w:highlight w:val="none"/>
                <w:lang w:val="en-US" w:eastAsia="zh-CN"/>
              </w:rPr>
            </w:pPr>
            <w:r>
              <w:rPr>
                <w:rFonts w:hint="eastAsia"/>
                <w:highlight w:val="none"/>
                <w:lang w:val="en-US" w:eastAsia="zh-CN"/>
              </w:rPr>
              <w:t>教师可通过系统检索并查看所有已分发给学生端的课程资源记录，方便教师回溯或二次调用教学材料。</w:t>
            </w:r>
          </w:p>
          <w:p w14:paraId="55B5F10F">
            <w:pPr>
              <w:rPr>
                <w:rFonts w:hint="eastAsia"/>
                <w:highlight w:val="none"/>
                <w:lang w:val="en-US" w:eastAsia="zh-CN"/>
              </w:rPr>
            </w:pPr>
            <w:r>
              <w:rPr>
                <w:rFonts w:hint="eastAsia"/>
                <w:highlight w:val="none"/>
                <w:lang w:val="en-US" w:eastAsia="zh-CN"/>
              </w:rPr>
              <w:t>2</w:t>
            </w:r>
            <w:r>
              <w:rPr>
                <w:rFonts w:hint="eastAsia" w:ascii="宋体" w:hAnsi="宋体" w:eastAsia="宋体" w:cs="宋体"/>
                <w:i w:val="0"/>
                <w:iCs w:val="0"/>
                <w:color w:val="auto"/>
                <w:sz w:val="21"/>
                <w:szCs w:val="21"/>
                <w:highlight w:val="none"/>
                <w:u w:val="none"/>
                <w:lang w:val="en-US" w:eastAsia="zh-CN" w:bidi="ar"/>
              </w:rPr>
              <w:t>）</w:t>
            </w:r>
            <w:r>
              <w:rPr>
                <w:rFonts w:hint="eastAsia"/>
                <w:highlight w:val="none"/>
                <w:lang w:val="en-US" w:eastAsia="zh-CN"/>
              </w:rPr>
              <w:t>学习效果分析</w:t>
            </w:r>
          </w:p>
          <w:p w14:paraId="4401F9B5">
            <w:pPr>
              <w:rPr>
                <w:rFonts w:hint="eastAsia"/>
                <w:highlight w:val="none"/>
                <w:lang w:val="en-US" w:eastAsia="zh-CN"/>
              </w:rPr>
            </w:pPr>
            <w:r>
              <w:rPr>
                <w:rFonts w:hint="eastAsia"/>
                <w:highlight w:val="none"/>
                <w:lang w:val="en-US" w:eastAsia="zh-CN"/>
              </w:rPr>
              <w:t>系统提供全班视角的学生实验成绩总览，对所有提交实验的学生进行自动成绩排名并集中展示。</w:t>
            </w:r>
          </w:p>
          <w:p w14:paraId="2DC6D8B6">
            <w:pPr>
              <w:rPr>
                <w:rFonts w:hint="eastAsia"/>
                <w:highlight w:val="none"/>
                <w:lang w:val="en-US" w:eastAsia="zh-CN"/>
              </w:rPr>
            </w:pPr>
            <w:r>
              <w:rPr>
                <w:rFonts w:hint="eastAsia"/>
                <w:highlight w:val="none"/>
                <w:lang w:val="en-US" w:eastAsia="zh-CN"/>
              </w:rPr>
              <w:t>3</w:t>
            </w:r>
            <w:r>
              <w:rPr>
                <w:rFonts w:hint="eastAsia" w:ascii="宋体" w:hAnsi="宋体" w:eastAsia="宋体" w:cs="宋体"/>
                <w:i w:val="0"/>
                <w:iCs w:val="0"/>
                <w:color w:val="auto"/>
                <w:sz w:val="21"/>
                <w:szCs w:val="21"/>
                <w:highlight w:val="none"/>
                <w:u w:val="none"/>
                <w:lang w:val="en-US" w:eastAsia="zh-CN" w:bidi="ar"/>
              </w:rPr>
              <w:t>）</w:t>
            </w:r>
            <w:r>
              <w:rPr>
                <w:rFonts w:hint="eastAsia"/>
                <w:highlight w:val="none"/>
                <w:lang w:val="en-US" w:eastAsia="zh-CN"/>
              </w:rPr>
              <w:t>实验过程全景记录</w:t>
            </w:r>
          </w:p>
          <w:p w14:paraId="333FA65D">
            <w:pPr>
              <w:rPr>
                <w:rFonts w:hint="eastAsia"/>
                <w:highlight w:val="none"/>
                <w:lang w:val="en-US" w:eastAsia="zh-CN"/>
              </w:rPr>
            </w:pPr>
            <w:r>
              <w:rPr>
                <w:rFonts w:hint="eastAsia"/>
                <w:highlight w:val="none"/>
                <w:lang w:val="en-US" w:eastAsia="zh-CN"/>
              </w:rPr>
              <w:t>系统具备自动录制并存储学生完成实验全过程视频，确保操作过程的可回放与可复盘。</w:t>
            </w:r>
          </w:p>
          <w:p w14:paraId="416054B5">
            <w:pPr>
              <w:rPr>
                <w:rFonts w:hint="eastAsia"/>
                <w:highlight w:val="none"/>
                <w:lang w:val="en-US" w:eastAsia="zh-CN"/>
              </w:rPr>
            </w:pPr>
            <w:r>
              <w:rPr>
                <w:rFonts w:hint="eastAsia"/>
                <w:highlight w:val="none"/>
                <w:lang w:val="en-US" w:eastAsia="zh-CN"/>
              </w:rPr>
              <w:t>4</w:t>
            </w:r>
            <w:r>
              <w:rPr>
                <w:rFonts w:hint="eastAsia" w:ascii="宋体" w:hAnsi="宋体" w:eastAsia="宋体" w:cs="宋体"/>
                <w:i w:val="0"/>
                <w:iCs w:val="0"/>
                <w:color w:val="auto"/>
                <w:sz w:val="21"/>
                <w:szCs w:val="21"/>
                <w:highlight w:val="none"/>
                <w:u w:val="none"/>
                <w:lang w:val="en-US" w:eastAsia="zh-CN" w:bidi="ar"/>
              </w:rPr>
              <w:t>）</w:t>
            </w:r>
            <w:r>
              <w:rPr>
                <w:rFonts w:hint="eastAsia"/>
                <w:highlight w:val="none"/>
                <w:lang w:val="en-US" w:eastAsia="zh-CN"/>
              </w:rPr>
              <w:t>实验过程追溯</w:t>
            </w:r>
          </w:p>
          <w:p w14:paraId="7F3E381B">
            <w:pPr>
              <w:rPr>
                <w:rFonts w:hint="eastAsia"/>
                <w:highlight w:val="none"/>
                <w:lang w:val="en-US" w:eastAsia="zh-CN"/>
              </w:rPr>
            </w:pPr>
            <w:r>
              <w:rPr>
                <w:rFonts w:hint="eastAsia"/>
                <w:highlight w:val="none"/>
                <w:lang w:val="en-US" w:eastAsia="zh-CN"/>
              </w:rPr>
              <w:t>统计学生在实验过程中实验步骤的进展情况、操作的正误情况，帮助教师评估学生对知识的掌握程度。</w:t>
            </w:r>
          </w:p>
          <w:p w14:paraId="6B79F484">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（提供上述功能的证明材料包括但不限于软件功能性截图、产品说明书或官网截图等）</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996464">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套</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73F027">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w:t>
            </w:r>
          </w:p>
        </w:tc>
      </w:tr>
      <w:tr w14:paraId="1C248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CED58">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D1172F">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融合学科VR教学资源</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9026404">
            <w:pPr>
              <w:keepNext w:val="0"/>
              <w:keepLines w:val="0"/>
              <w:pageBreakBefore w:val="0"/>
              <w:widowControl/>
              <w:numPr>
                <w:ilvl w:val="-1"/>
                <w:numId w:val="0"/>
              </w:numPr>
              <w:suppressLineNumbers w:val="0"/>
              <w:ind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1.教学资源所有模型均为经过烘焙的三维仿真模型，系统分辨率不低于1920*1200。</w:t>
            </w:r>
          </w:p>
          <w:p w14:paraId="06BAE160">
            <w:pPr>
              <w:keepNext w:val="0"/>
              <w:keepLines w:val="0"/>
              <w:pageBreakBefore w:val="0"/>
              <w:widowControl/>
              <w:numPr>
                <w:ilvl w:val="-1"/>
                <w:numId w:val="0"/>
              </w:numPr>
              <w:suppressLineNumbers w:val="0"/>
              <w:ind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2.教学资源支持6DoF体验。</w:t>
            </w:r>
          </w:p>
          <w:p w14:paraId="0C2D92F2">
            <w:pPr>
              <w:keepNext w:val="0"/>
              <w:keepLines w:val="0"/>
              <w:pageBreakBefore w:val="0"/>
              <w:widowControl/>
              <w:numPr>
                <w:ilvl w:val="-1"/>
                <w:numId w:val="0"/>
              </w:numPr>
              <w:suppressLineNumbers w:val="0"/>
              <w:ind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3.所有资源均支持在无互联网环境下正常操作使用。</w:t>
            </w:r>
          </w:p>
          <w:p w14:paraId="526B1212">
            <w:pPr>
              <w:keepNext w:val="0"/>
              <w:keepLines w:val="0"/>
              <w:pageBreakBefore w:val="0"/>
              <w:widowControl/>
              <w:numPr>
                <w:ilvl w:val="-1"/>
                <w:numId w:val="0"/>
              </w:numPr>
              <w:suppressLineNumbers w:val="0"/>
              <w:ind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4.本VR教学资源需适配安装到本项目所有穿戴式学生VR终端、裸眼XR便携终端和所有偏振式3DVR便携式终端三款设备中；每款设备均需提供以下主题板块资源，不少于80节，其中每个主题下设目录至少展示4个资源：安全教育主题（下设目录包含但不限于消防安全、地震避险、交通安全）、心理健康教育主题（下设目录包含但不限于情绪管理、自我认知、人际交往）、爱国主义及国防教育主题（下设目录包含但不限于红色故事、国防安全知识、历史事件场景）、科普教育主题（下设目录包含但不限于生命科学、星空探秘、航空科技）。各潜在供应商自行设计资源表格，表头至少包含序号、资源名称等内容。</w:t>
            </w:r>
          </w:p>
          <w:p w14:paraId="0FFCA40F">
            <w:pPr>
              <w:keepNext w:val="0"/>
              <w:keepLines w:val="0"/>
              <w:pageBreakBefore w:val="0"/>
              <w:widowControl/>
              <w:numPr>
                <w:ilvl w:val="-1"/>
                <w:numId w:val="0"/>
              </w:numPr>
              <w:suppressLineNumbers w:val="0"/>
              <w:ind w:left="0" w:leftChars="0" w:firstLine="0" w:firstLineChars="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（针对以上需求投标单位提供承诺函）</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00143F">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套</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A9F18">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w:t>
            </w:r>
          </w:p>
        </w:tc>
      </w:tr>
      <w:tr w14:paraId="7D43E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AAFE9">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5</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F73A81">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小学科学VR教学系8统</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D5121A3">
            <w:pPr>
              <w:keepNext w:val="0"/>
              <w:keepLines w:val="0"/>
              <w:pageBreakBefore w:val="0"/>
              <w:widowControl/>
              <w:numPr>
                <w:ilvl w:val="0"/>
                <w:numId w:val="8"/>
              </w:numPr>
              <w:suppressLineNumbers w:val="0"/>
              <w:spacing w:afterAutospacing="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所有模型均为经过烘焙的三维仿真模型，系统分辨率不低于1920*1200。</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2.支持6DoF体验。</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3.具有交互性，非简单视频类课件。</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4.所有资源均支持在无互联网环境下正常操作使用。</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5.VR资源中有实验原理、实验器材、实验目的、实验步骤、实验结论等信息内容提示。</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6.本项目所有穿戴式学生VR终端、裸眼XR便携终端和所有偏振式3DVR便携式终端三款设备需适配安装VR教学资源。</w:t>
            </w:r>
          </w:p>
          <w:p w14:paraId="5C0250FB">
            <w:pPr>
              <w:keepNext w:val="0"/>
              <w:keepLines w:val="0"/>
              <w:pageBreakBefore w:val="0"/>
              <w:widowControl/>
              <w:numPr>
                <w:ilvl w:val="0"/>
                <w:numId w:val="0"/>
              </w:numPr>
              <w:suppressLineNumbers w:val="0"/>
              <w:spacing w:afterAutospacing="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7.提供小学科学实验教学软件不少于100节独立的VR课件，涵盖1-6年级的教材，与本校使用的江苏省凤凰教育出版社出版的小学科学教材同步，需要本地化部署；所有课件满足授课需求，可以自主拆分、自由搭建。</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8.各潜在供应商自行设计资源表格，表头至少包含序号、资源名称、课本册数、章节、对应教材知识点等内容。</w:t>
            </w:r>
          </w:p>
          <w:p w14:paraId="0AB35313">
            <w:pPr>
              <w:keepNext w:val="0"/>
              <w:keepLines w:val="0"/>
              <w:pageBreakBefore w:val="0"/>
              <w:widowControl/>
              <w:numPr>
                <w:ilvl w:val="-1"/>
                <w:numId w:val="0"/>
              </w:numPr>
              <w:suppressLineNumbers w:val="0"/>
              <w:spacing w:afterAutospacing="0"/>
              <w:ind w:left="0" w:leftChars="0" w:firstLine="0" w:firstLineChars="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（针对以上需求投标单位提供承诺函）</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6D60EC">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套</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3E1D3">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w:t>
            </w:r>
          </w:p>
        </w:tc>
      </w:tr>
      <w:tr w14:paraId="522E6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72ED">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6</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0F85C7">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设备充电消毒一体柜</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A6A5A27">
            <w:pPr>
              <w:keepNext w:val="0"/>
              <w:keepLines w:val="0"/>
              <w:pageBreakBefore w:val="0"/>
              <w:widowControl/>
              <w:suppressLineNumbers w:val="0"/>
              <w:jc w:val="left"/>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功能参数：</w:t>
            </w:r>
          </w:p>
          <w:p w14:paraId="43385F80">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1、内置USB 5V 2.4A直流充电口（智能识别VR终端设备所需要的电流）；</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2、每口独立充电并具备智能指示灯，有对应的数字序号；</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3、搭配智能温控系统；</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4、主动式节能开关电源，内置安全保护：雷击保护、浪涌保护、过载保护、漏电保护、过充保护；</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5、自动消毒功能，消毒后自动关闭；</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结构参数：</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1、外形尺寸≤950*800*1150mm(含脚轮、防撞角)，工位容积约为205*368*150mm ，顶边圆弧设计；</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2、两侧设有ABS工程提手，柜体四个底角加装软塑防撞角，配装4个3寸带刹车天然橡胶静音脚轮；</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3、多层工位设计，配装ABS绿色隔断；</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4、独立的电源管控封闭区；</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5、前后门带锁，前后门板与侧板设有对流孔，通风散热。</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C0B4CF">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台</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430DD8">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2</w:t>
            </w:r>
          </w:p>
        </w:tc>
      </w:tr>
      <w:tr w14:paraId="41599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955A8">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7</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2F5DE9">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无线AP</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DFFF925">
            <w:pPr>
              <w:keepNext w:val="0"/>
              <w:keepLines w:val="0"/>
              <w:pageBreakBefore w:val="0"/>
              <w:widowControl/>
              <w:numPr>
                <w:ilvl w:val="0"/>
                <w:numId w:val="9"/>
              </w:numPr>
              <w:suppressLineNumbers w:val="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双频增强级无线接入点；整机支持12条空间流；</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2、接口：≥1个10G/PoE IN；</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3、整机接入速率≥12Gbps；</w:t>
            </w:r>
          </w:p>
          <w:p w14:paraId="03F1E0EA">
            <w:pPr>
              <w:keepNext w:val="0"/>
              <w:keepLines w:val="0"/>
              <w:pageBreakBefore w:val="0"/>
              <w:widowControl/>
              <w:numPr>
                <w:ilvl w:val="-1"/>
                <w:numId w:val="0"/>
              </w:numPr>
              <w:suppressLineNumbers w:val="0"/>
              <w:ind w:left="0" w:leftChars="0" w:firstLine="0" w:firstLineChars="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4、含管理主机。</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ED8E1D">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台</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316B4F">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2</w:t>
            </w:r>
          </w:p>
        </w:tc>
      </w:tr>
      <w:tr w14:paraId="60C52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BC271">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8</w:t>
            </w:r>
          </w:p>
        </w:tc>
        <w:tc>
          <w:tcPr>
            <w:tcW w:w="25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8C513B">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裸眼XR便携终端</w:t>
            </w:r>
          </w:p>
        </w:tc>
        <w:tc>
          <w:tcPr>
            <w:tcW w:w="56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47B6D8">
            <w:pPr>
              <w:jc w:val="left"/>
              <w:rPr>
                <w:rFonts w:hint="eastAsia"/>
                <w:highlight w:val="none"/>
                <w:lang w:val="en-US" w:eastAsia="zh-CN"/>
              </w:rPr>
            </w:pPr>
            <w:r>
              <w:rPr>
                <w:rFonts w:hint="eastAsia" w:ascii="宋体" w:hAnsi="宋体" w:eastAsia="宋体" w:cs="宋体"/>
                <w:i w:val="0"/>
                <w:iCs w:val="0"/>
                <w:color w:val="auto"/>
                <w:sz w:val="21"/>
                <w:szCs w:val="21"/>
                <w:highlight w:val="none"/>
                <w:u w:val="none"/>
                <w:lang w:val="en-US" w:eastAsia="zh-CN" w:bidi="ar"/>
              </w:rPr>
              <w:t>裸眼XR便携终端采用便携化设计，支持无外部供电的移动使用。</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1.技术要求：</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1）3D显示：支持3D显示和2D显示自动切换，显示面积≥15英寸，显示分辨率≥3840*2160；</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2）性能要求：</w:t>
            </w:r>
            <w:r>
              <w:rPr>
                <w:rFonts w:hint="eastAsia"/>
                <w:highlight w:val="none"/>
                <w:lang w:val="en-US" w:eastAsia="zh-CN"/>
              </w:rPr>
              <w:t>≥8核16线程</w:t>
            </w:r>
          </w:p>
          <w:p w14:paraId="48ACEA87">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；硬盘≥512G NVMe SSD；内存≥16G DDR5；显卡显存容量≥6GB；</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 xml:space="preserve">3）裸眼3D显示：无需佩戴3D眼镜，仅通过裸眼方式即可观看到3D/VR的景深效果； </w:t>
            </w:r>
          </w:p>
          <w:p w14:paraId="57951A0F">
            <w:pPr>
              <w:keepNext w:val="0"/>
              <w:keepLines w:val="0"/>
              <w:pageBreakBefore w:val="0"/>
              <w:widowControl/>
              <w:numPr>
                <w:ilvl w:val="0"/>
                <w:numId w:val="10"/>
              </w:numPr>
              <w:suppressLineNumbers w:val="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接口：≥1个Type-C接口，≥2个USB接口，≥1个RJ45网络接口，≥1个HDMI输出接口；</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5）支持视频输出；</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2.功能要求：</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眼球跟踪：可追踪眼球的多目摄像头，通过摄像头系统能准确判断人眼所在位置，从而根据眼球追踪视角的不同来转换不同视角下的显示内容，达到逼真的XR效果（提供上述功能的证明材料包括但不限于软件功能性截图、产品说明书或官网截图等）；</w:t>
            </w:r>
          </w:p>
          <w:p w14:paraId="393BE862">
            <w:pPr>
              <w:keepNext w:val="0"/>
              <w:keepLines w:val="0"/>
              <w:pageBreakBefore w:val="0"/>
              <w:widowControl/>
              <w:numPr>
                <w:ilvl w:val="-1"/>
                <w:numId w:val="0"/>
              </w:numPr>
              <w:suppressLineNumbers w:val="0"/>
              <w:ind w:left="0" w:leftChars="0" w:firstLine="0" w:firstLineChars="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2）支持键鼠、光学追踪操控笔两种交互方式。操控笔交互方式能够对VR对象进行3个自由度坐标轴移动及3个自由度坐标轴的转动；可实现对象选择、旋转、缩放等操作。</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3）搭载AR软件可实现外接AR摄像头和大屏，实现扩展显示；也可搭配带3D显示功能的大屏做扩屏模式显示，实现立体3D的VR投屏功能。</w:t>
            </w:r>
          </w:p>
        </w:tc>
        <w:tc>
          <w:tcPr>
            <w:tcW w:w="4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A375FF">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台</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1ED624">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 xml:space="preserve">2 </w:t>
            </w:r>
          </w:p>
        </w:tc>
      </w:tr>
      <w:tr w14:paraId="2ABC3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73AC1">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9</w:t>
            </w:r>
          </w:p>
        </w:tc>
        <w:tc>
          <w:tcPr>
            <w:tcW w:w="25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7CE676">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裸眼XR便携终端配件包</w:t>
            </w:r>
          </w:p>
        </w:tc>
        <w:tc>
          <w:tcPr>
            <w:tcW w:w="56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5AF6D0">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配件包应提供满足裸眼XR便携终端视频信号中转用途的专用设备与辅助设备，应支持将裸眼XR便携终端设备显示画面扩展至小组屏；应支持AR（增强现实）展示功能，将虚拟内容与现实拍摄场景叠加融合显示。</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 xml:space="preserve">    1.配件数量及要求</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1）AR增强现实视频摄像头1个；</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2）摄像头专用支架1个：支持360°旋转，脚架高度可调节；</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3）USB扩展坞：支持USB3.0接口≥4个，支持Type-C单独供电；</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4）无线鼠标：支持2.4GHz无线和蓝牙双模；</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5）散热支架1个：满足裸眼XR便携终端设备散热需求；</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6）HDMI连接线1根：能够实现裸眼XR便携终端视频传输，线材长度不小于5m；</w:t>
            </w:r>
          </w:p>
        </w:tc>
        <w:tc>
          <w:tcPr>
            <w:tcW w:w="4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3DED79">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套</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2D1272">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 xml:space="preserve">2 </w:t>
            </w:r>
          </w:p>
        </w:tc>
      </w:tr>
      <w:tr w14:paraId="18FE6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13472">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10</w:t>
            </w:r>
          </w:p>
        </w:tc>
        <w:tc>
          <w:tcPr>
            <w:tcW w:w="25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BB00C3">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偏振式3DVR便携式终端</w:t>
            </w:r>
          </w:p>
        </w:tc>
        <w:tc>
          <w:tcPr>
            <w:tcW w:w="56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EE5495">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一、整体设计要求：</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1.3D显示单元、光学追踪定位单元、电脑单元采用一体式设计，显示尺寸≥15英寸；全高清偏光式3D显示技术，3D显示物理分辨率:≥1920*1080；</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2.可实现AR/VR交互操作；</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3.支持播放上下、左右、帧顺序格式的3D视频资源；</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4.支持键鼠、触摸、光学追踪空间交互笔等交互方式；</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5.支持3D虚拟现实显示方式与2D普通显示方式自动切换功能；</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6.支持将虚拟现实交互场景立体展示至其它显示设备；</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7.设备内置扬声器；</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二、教学系统参数：</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1.存储：≥256GB ；内存：≥8GB；</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2.3D显示跟踪系统：≥2组红外传感器，每组红外传感器都包含1个相机和1颗红外LED灯；红外传感器间需协同工作；</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3.设备具备头部3D眼镜位置追踪功能；</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4.系统配备空间交互笔:支持6自由度坐标轴和空中姿态转动。</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5.终端系统：可按照学段、学科等分类筛选并预览资源；可在离线或自由模式下打开设备内的资源。</w:t>
            </w:r>
          </w:p>
        </w:tc>
        <w:tc>
          <w:tcPr>
            <w:tcW w:w="4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688339">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套</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CFAE3">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14</w:t>
            </w:r>
          </w:p>
        </w:tc>
      </w:tr>
      <w:tr w14:paraId="53A66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9B4E5">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11</w:t>
            </w:r>
          </w:p>
        </w:tc>
        <w:tc>
          <w:tcPr>
            <w:tcW w:w="25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E240DF">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观察眼镜</w:t>
            </w:r>
          </w:p>
        </w:tc>
        <w:tc>
          <w:tcPr>
            <w:tcW w:w="56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0F67BB">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采用轻便的偏光式3D眼镜，无需电池及开关，即戴即用，免开关、免维护；</w:t>
            </w:r>
          </w:p>
        </w:tc>
        <w:tc>
          <w:tcPr>
            <w:tcW w:w="4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D7329C">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副</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8D18F7">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60</w:t>
            </w:r>
          </w:p>
        </w:tc>
      </w:tr>
      <w:tr w14:paraId="7F540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4AFAF">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12</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F15E1C">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VR资源制作软件</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0DD2BEC">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1.图形化创作工具软件，支持VR课件的设计制作,涵盖多学科模型库,不少于2000个模型，且可进行分类筛选。</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2.支持对三维模型的浏览、拆分、标注、剖面切割、标记等功能。</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3.需部署到所有偏振式3DVR便携式终端中。</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AE8CFC">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套</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B3345">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w:t>
            </w:r>
          </w:p>
        </w:tc>
      </w:tr>
      <w:tr w14:paraId="46A68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12BF6">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13</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0CCBAA">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3D 智慧黑板</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799C277">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1、整机三拼接平面一体化设计；</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2、显示区域尺寸≥ 86英寸，偏光式3D液晶显示技术，物理分辨率≥3840*2160，整机可视角度≥100°，HDMI2.0接口；</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3、配置OPS电脑，实现双系统运行，性能和存储容量满足VR资源的存储与运行。</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3、每台配50副偏光式3D眼镜，无需电池，即戴即用，便携轻巧，免维护；支持左右格式、上下格式的3D内容；</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4、具备智能控制2D/3D显示模式，可实现教师机对本机的2D与3D工作状态进行无线智能化控制；</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5、本产品与AI裸眼XR便携式终端连接，学生可以通过偏振式3D观察眼镜看到VR立体效果。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E59DA">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台</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10ADB4">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2</w:t>
            </w:r>
          </w:p>
        </w:tc>
      </w:tr>
      <w:tr w14:paraId="64611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166E3">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14</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92878">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八边形操作台</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D937EC8">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1.边长600mm，直径1560mm，高度750mm（±10mm）；</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2.台面采用≥12.5mm优质实芯理化板，具有抗老化、耐酸碱、防火、耐磨、无毒功能及易清洁、使用寿命长、外表美观等特点；</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3.台身结构：铝合金框架结构,框架采用国标Ф50 mm±1.2mm 圆管为立腿，横管为30×30±1.2mm方管，铝合金型材的壁厚不小于1.4mm（±0.2 mm）。铝合金表面静电喷塑，连接件为ABS工程塑料连接件。铝合金型材应带凹槽，凹槽的宽度、深度应与所采用的柜体板材相匹配，接缝严密，无晃动现象。桌架整体耐腐蚀、防火、防潮、稳固耐用；台身侧板、背板及吊板采用≥12.7mm厚高密度PE板；</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4.所有板材外露端面采用高质量ABS封边条，利用机械封边机配以热溶胶高温封边，高密封性不吸水、不膨胀，外型美观、经久耐用。实验桌整体设计科学合理且美观。</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5.脚垫：采用特制模具ABS注塑脚垫，高度可调，可有效防止台身受潮，延长设备 的使用寿命。</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D3905A">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套</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D20908">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12</w:t>
            </w:r>
          </w:p>
        </w:tc>
      </w:tr>
      <w:tr w14:paraId="60D4B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87337">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15</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2A885D">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全钢讲台</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7EFB19">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1.规格：2000*700*800㎜ （±50mm）</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2.台面采用理化板。</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3.整体采用0.8mm厚优质冷轧钢板，全部钢制件防锈处理。</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4.演示台设有储物柜，中间为演示台,设置电源主控系统、多媒体设备（主机、显示器、中控、功放、交换机）的预留位置。</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43307C">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台</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C32BEC">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2</w:t>
            </w:r>
          </w:p>
        </w:tc>
      </w:tr>
      <w:tr w14:paraId="0D023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F2189">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16</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0F71D">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学生凳</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1F18304">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325（径）*420（高)mm， 凳面PP工程塑料注塑成型；支撑柱采用直径50mm圆钢管，顶端为165*165*1.5mm钢板，采用全周满焊焊接，用四颗直径8mm的自锁螺帽连接凳面，结构牢固，长期使用也不会出现摇晃松散现象；下端五星脚采用一次性铝压铸加工，表面经过防腐氧化处理和纯环氧树脂塑粉高温固化处理，具有较强的耐蚀性及承重性。</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603570">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个</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0971B3">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96</w:t>
            </w:r>
          </w:p>
        </w:tc>
      </w:tr>
      <w:tr w14:paraId="106FD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33692">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17</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CC59EE">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储物柜</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6C13FEA">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8000（长度）*400mm(宽度）*1200mm（高度）。基材为18mm厚实木多层板（静曲强度≥15MPa)，表面覆三聚氰胺浸渍纸(耐磨转数≥1000转)，板材边缘采用同色ABS封边条(封边厚≥1mm)，背板为＞5 mm多层板，辅材包含304不锈钢五金件(铰链承重≥50kg，开合寿命≥10万次)、柜体采用三合一连接结构，门板与柜体间隙≤3mm，铰链安装后垂直度误差≤1.5mm。</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BABF4D">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套</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2E982">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2</w:t>
            </w:r>
          </w:p>
        </w:tc>
      </w:tr>
      <w:tr w14:paraId="15161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6D789">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18</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9F5518">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教室文化环境布置</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0E9DF3">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1.针对未来实验室文化环境、氛围营造的特点，对2间教室室内前后及两侧墙壁（除去窗户、智慧黑板位置）进行整体布置，其中一间长宽高约为10.6*6.9*3.5m，另一间长宽高约为13.6*6.6*3.45；所用材质为异形pvc UV，厚度≥1cm,亚克力背喷，厚度≥2mm。</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2.提供平面效果图及安装说明。</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BEA328">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平方</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B65F68">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80</w:t>
            </w:r>
          </w:p>
        </w:tc>
      </w:tr>
      <w:tr w14:paraId="35AFB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75564">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19</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F81AA">
            <w:pPr>
              <w:keepNext w:val="0"/>
              <w:keepLines w:val="0"/>
              <w:pageBreakBefore w:val="0"/>
              <w:widowControl/>
              <w:suppressLineNumbers w:val="0"/>
              <w:jc w:val="center"/>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铝方通造型</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77BAD4D">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室内顶面铝方通造型，外观质量板材边部应切齐，无毛刺，裂边，板材不允许有开焊等。外观应整洁，图案清晰，色泽基本一致，无明显擦伤和毛刺，装饰面不得有明显压痕、印痕和凹凸等痕迹，目视无明显色差。不得有漏涂、波纹，鼓泡或穿透涂层的损伤。膜厚：平均膜厚 23umm，最小局部膜厚 22um，光泽度范围:38.6-39.7平均值 39.1。附着力0级，漆膜硬度&gt;2H，耐冲击性&gt;4N·m，耐油性检测结果无变化。</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099E83">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平米</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419FE7">
            <w:pPr>
              <w:keepNext w:val="0"/>
              <w:keepLines w:val="0"/>
              <w:pageBreakBefore w:val="0"/>
              <w:widowControl/>
              <w:suppressLineNumbers w:val="0"/>
              <w:jc w:val="center"/>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170</w:t>
            </w:r>
          </w:p>
        </w:tc>
      </w:tr>
      <w:tr w14:paraId="1A11D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3680C">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20</w:t>
            </w:r>
          </w:p>
        </w:tc>
        <w:tc>
          <w:tcPr>
            <w:tcW w:w="25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7E255">
            <w:pPr>
              <w:keepNext w:val="0"/>
              <w:keepLines w:val="0"/>
              <w:pageBreakBefore w:val="0"/>
              <w:widowControl/>
              <w:suppressLineNumbers w:val="0"/>
              <w:jc w:val="center"/>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室内地板</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E9BA0E">
            <w:pPr>
              <w:keepNext w:val="0"/>
              <w:keepLines w:val="0"/>
              <w:pageBreakBefore w:val="0"/>
              <w:widowControl/>
              <w:suppressLineNumbers w:val="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高密度纤维板与高分子材料复合结构地板，板材厚度不低于1cm，E0级别，耐磨等级为家用I级 6000转，含铺装及同材质成品踢脚线等辅材。</w:t>
            </w: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FCBB3A">
            <w:pPr>
              <w:keepNext w:val="0"/>
              <w:keepLines w:val="0"/>
              <w:pageBreakBefore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平米</w:t>
            </w:r>
          </w:p>
        </w:tc>
        <w:tc>
          <w:tcPr>
            <w:tcW w:w="5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D93F18">
            <w:pPr>
              <w:keepNext w:val="0"/>
              <w:keepLines w:val="0"/>
              <w:pageBreakBefore w:val="0"/>
              <w:widowControl/>
              <w:suppressLineNumbers w:val="0"/>
              <w:jc w:val="center"/>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170</w:t>
            </w:r>
          </w:p>
        </w:tc>
      </w:tr>
    </w:tbl>
    <w:p w14:paraId="1A7823CE">
      <w:pPr>
        <w:spacing w:line="460" w:lineRule="exact"/>
        <w:ind w:left="42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三</w:t>
      </w:r>
      <w:r>
        <w:rPr>
          <w:rFonts w:hint="eastAsia" w:asciiTheme="minorEastAsia" w:hAnsiTheme="minorEastAsia" w:eastAsiaTheme="minorEastAsia" w:cstheme="minorEastAsia"/>
          <w:b/>
          <w:bCs/>
          <w:color w:val="auto"/>
          <w:sz w:val="24"/>
          <w:szCs w:val="24"/>
          <w:highlight w:val="none"/>
        </w:rPr>
        <w:t>、其他要求：</w:t>
      </w:r>
    </w:p>
    <w:p w14:paraId="74D88A53">
      <w:pPr>
        <w:spacing w:line="46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1.所有招标要求条款投标供应商均必须如实反映响应或偏离情况，如投标单位虚假响应招标文件要求，则一切后果由投标供应商自行承担。招标单位保留追究法律责任的权利</w:t>
      </w:r>
      <w:r>
        <w:rPr>
          <w:rFonts w:hint="eastAsia" w:asciiTheme="minorEastAsia" w:hAnsiTheme="minorEastAsia" w:cstheme="minorEastAsia"/>
          <w:color w:val="auto"/>
          <w:sz w:val="24"/>
          <w:szCs w:val="24"/>
          <w:highlight w:val="none"/>
          <w:lang w:eastAsia="zh-CN"/>
        </w:rPr>
        <w:t>；</w:t>
      </w:r>
    </w:p>
    <w:p w14:paraId="10A6F500">
      <w:pPr>
        <w:spacing w:line="46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标“★”</w:t>
      </w:r>
      <w:r>
        <w:rPr>
          <w:rFonts w:hint="eastAsia" w:asciiTheme="minorEastAsia" w:hAnsiTheme="minorEastAsia" w:eastAsiaTheme="minorEastAsia" w:cstheme="minorEastAsia"/>
          <w:color w:val="auto"/>
          <w:sz w:val="24"/>
          <w:szCs w:val="24"/>
          <w:highlight w:val="none"/>
        </w:rPr>
        <w:t>为重要技术参数，</w:t>
      </w:r>
      <w:r>
        <w:rPr>
          <w:rFonts w:hint="eastAsia" w:asciiTheme="minorEastAsia" w:hAnsiTheme="minorEastAsia" w:eastAsiaTheme="minorEastAsia" w:cstheme="minorEastAsia"/>
          <w:color w:val="auto"/>
          <w:sz w:val="24"/>
          <w:szCs w:val="24"/>
          <w:highlight w:val="none"/>
          <w:lang w:val="en-US" w:eastAsia="zh-CN"/>
        </w:rPr>
        <w:t>响应文件</w:t>
      </w:r>
      <w:r>
        <w:rPr>
          <w:rFonts w:hint="eastAsia" w:asciiTheme="minorEastAsia" w:hAnsiTheme="minorEastAsia" w:eastAsiaTheme="minorEastAsia" w:cstheme="minorEastAsia"/>
          <w:color w:val="auto"/>
          <w:sz w:val="24"/>
          <w:szCs w:val="24"/>
          <w:highlight w:val="none"/>
        </w:rPr>
        <w:t>须</w:t>
      </w:r>
      <w:r>
        <w:rPr>
          <w:rFonts w:hint="eastAsia" w:asciiTheme="minorEastAsia" w:hAnsiTheme="minorEastAsia" w:eastAsiaTheme="minorEastAsia" w:cstheme="minorEastAsia"/>
          <w:color w:val="auto"/>
          <w:sz w:val="24"/>
          <w:szCs w:val="24"/>
          <w:highlight w:val="none"/>
          <w:lang w:val="en-US" w:eastAsia="zh-CN"/>
        </w:rPr>
        <w:t>按照要求</w:t>
      </w:r>
      <w:r>
        <w:rPr>
          <w:rFonts w:hint="eastAsia" w:asciiTheme="minorEastAsia" w:hAnsiTheme="minorEastAsia" w:eastAsiaTheme="minorEastAsia" w:cstheme="minorEastAsia"/>
          <w:color w:val="auto"/>
          <w:sz w:val="24"/>
          <w:szCs w:val="24"/>
          <w:highlight w:val="none"/>
        </w:rPr>
        <w:t>提供相关有效佐证</w:t>
      </w:r>
      <w:r>
        <w:rPr>
          <w:rFonts w:hint="eastAsia" w:asciiTheme="minorEastAsia" w:hAnsiTheme="minorEastAsia" w:cstheme="minorEastAsia"/>
          <w:color w:val="auto"/>
          <w:sz w:val="24"/>
          <w:szCs w:val="24"/>
          <w:highlight w:val="none"/>
          <w:lang w:val="en-US" w:eastAsia="zh-CN"/>
        </w:rPr>
        <w:t>材料</w:t>
      </w:r>
      <w:r>
        <w:rPr>
          <w:rFonts w:hint="eastAsia" w:asciiTheme="minorEastAsia" w:hAnsiTheme="minorEastAsia" w:eastAsiaTheme="minorEastAsia" w:cstheme="minorEastAsia"/>
          <w:color w:val="auto"/>
          <w:sz w:val="24"/>
          <w:szCs w:val="24"/>
          <w:highlight w:val="none"/>
          <w:lang w:val="en-US" w:eastAsia="zh-CN"/>
        </w:rPr>
        <w:t>或提供具有国家权威检测机构出具的检测报告</w:t>
      </w:r>
      <w:r>
        <w:rPr>
          <w:rFonts w:hint="eastAsia" w:asciiTheme="minorEastAsia" w:hAnsiTheme="minorEastAsia" w:eastAsiaTheme="minorEastAsia" w:cstheme="minorEastAsia"/>
          <w:color w:val="auto"/>
          <w:sz w:val="24"/>
          <w:szCs w:val="24"/>
          <w:highlight w:val="none"/>
        </w:rPr>
        <w:t>，若有部分“</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”条款未响应或不满足，将根据评审要求影响其得分，但不作为无效投标条款</w:t>
      </w:r>
      <w:r>
        <w:rPr>
          <w:rFonts w:hint="eastAsia" w:asciiTheme="minorEastAsia" w:hAnsiTheme="minorEastAsia" w:cstheme="minorEastAsia"/>
          <w:color w:val="auto"/>
          <w:sz w:val="24"/>
          <w:szCs w:val="24"/>
          <w:highlight w:val="none"/>
          <w:lang w:eastAsia="zh-CN"/>
        </w:rPr>
        <w:t>。</w:t>
      </w:r>
    </w:p>
    <w:p w14:paraId="03696189">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投标人须在投标前自行踏勘现场，了解本项目的现场环境及现有平台接入的要求（投标人可联系招标人提前试接入），确保与现有视频图像信息应用等各类平台对接</w:t>
      </w:r>
      <w:r>
        <w:rPr>
          <w:rFonts w:hint="eastAsia" w:ascii="宋体" w:hAnsi="宋体" w:eastAsia="宋体" w:cs="宋体"/>
          <w:color w:val="auto"/>
          <w:sz w:val="24"/>
          <w:highlight w:val="none"/>
          <w:lang w:eastAsia="zh-CN"/>
        </w:rPr>
        <w:t>；</w:t>
      </w:r>
    </w:p>
    <w:p w14:paraId="5067F58C">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、单价、报价及总价</w:t>
      </w:r>
      <w:r>
        <w:rPr>
          <w:rFonts w:hint="eastAsia" w:asciiTheme="minorEastAsia" w:hAnsi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rPr>
        <w:t>除标的物的价款外还应包括（但不限于）</w:t>
      </w:r>
      <w:r>
        <w:rPr>
          <w:rFonts w:hint="eastAsia" w:asciiTheme="minorEastAsia" w:hAnsiTheme="minorEastAsia" w:cstheme="minorEastAsia"/>
          <w:color w:val="auto"/>
          <w:sz w:val="24"/>
          <w:szCs w:val="24"/>
          <w:highlight w:val="none"/>
          <w:lang w:eastAsia="zh-CN"/>
        </w:rPr>
        <w:t>标的物、采购、包装、运输、验收、售后服务、货物（含附配件）的价格、辅材（包括但不限于完成本项目符合国标的网线、电线、开关、灯、铝方通造型四周收边等全部材料）、安装调试、包装费、运输费、装卸费、保险费、验收费、与各类系统对接、设备接入兼容所需的费用、技术服务费、检测费、售后服务费、保险、招标代理费、规费、税费等全部费用，报价时应逐项填写单价和报价，最后汇总得出总价</w:t>
      </w:r>
      <w:r>
        <w:rPr>
          <w:rFonts w:hint="eastAsia" w:asciiTheme="minorEastAsia" w:hAnsiTheme="minorEastAsia" w:eastAsiaTheme="minorEastAsia" w:cstheme="minorEastAsia"/>
          <w:color w:val="auto"/>
          <w:sz w:val="24"/>
          <w:szCs w:val="24"/>
          <w:highlight w:val="none"/>
        </w:rPr>
        <w:t>；</w:t>
      </w:r>
    </w:p>
    <w:p w14:paraId="21DB28A6">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采用按实结算方式，综合单价不论在何种情况下一律不予调整，供货时按实际供货并通过验收的数量结算。结算价=Σ中标综合单价*实际供货并通过验收的数量。</w:t>
      </w:r>
    </w:p>
    <w:p w14:paraId="31510CB7">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、投标商需在投标之前充分调研</w:t>
      </w:r>
      <w:r>
        <w:rPr>
          <w:rFonts w:hint="eastAsia" w:asciiTheme="minorEastAsia" w:hAnsiTheme="minorEastAsia" w:eastAsiaTheme="minorEastAsia" w:cstheme="minorEastAsia"/>
          <w:color w:val="auto"/>
          <w:sz w:val="24"/>
          <w:szCs w:val="24"/>
          <w:highlight w:val="none"/>
          <w:lang w:val="en-US" w:eastAsia="zh-CN"/>
        </w:rPr>
        <w:t>现状</w:t>
      </w:r>
      <w:r>
        <w:rPr>
          <w:rFonts w:hint="eastAsia" w:asciiTheme="minorEastAsia" w:hAnsiTheme="minorEastAsia" w:eastAsiaTheme="minorEastAsia" w:cstheme="minorEastAsia"/>
          <w:color w:val="auto"/>
          <w:sz w:val="24"/>
          <w:szCs w:val="24"/>
          <w:highlight w:val="none"/>
        </w:rPr>
        <w:t>，所投的报价含系统开发、升级、调试、对接、运维、培训、</w:t>
      </w:r>
      <w:r>
        <w:rPr>
          <w:rFonts w:hint="eastAsia" w:asciiTheme="minorEastAsia" w:hAnsiTheme="minorEastAsia" w:eastAsiaTheme="minorEastAsia" w:cstheme="minorEastAsia"/>
          <w:color w:val="auto"/>
          <w:sz w:val="24"/>
          <w:szCs w:val="24"/>
          <w:highlight w:val="none"/>
          <w:lang w:val="en-US" w:eastAsia="zh-CN"/>
        </w:rPr>
        <w:t>服务费、</w:t>
      </w:r>
      <w:r>
        <w:rPr>
          <w:rFonts w:hint="eastAsia" w:asciiTheme="minorEastAsia" w:hAnsiTheme="minorEastAsia" w:eastAsiaTheme="minorEastAsia" w:cstheme="minorEastAsia"/>
          <w:color w:val="auto"/>
          <w:sz w:val="24"/>
          <w:szCs w:val="24"/>
          <w:highlight w:val="none"/>
        </w:rPr>
        <w:t>税金及质保期内的后续服务一切费用，即甲方不再另行支付其他费用。</w:t>
      </w:r>
    </w:p>
    <w:p w14:paraId="09E32849">
      <w:pPr>
        <w:keepNext w:val="0"/>
        <w:keepLines w:val="0"/>
        <w:pageBreakBefore w:val="0"/>
        <w:widowControl w:val="0"/>
        <w:numPr>
          <w:ilvl w:val="0"/>
          <w:numId w:val="0"/>
        </w:numPr>
        <w:spacing w:line="460" w:lineRule="exact"/>
        <w:ind w:left="42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三</w:t>
      </w:r>
      <w:r>
        <w:rPr>
          <w:rFonts w:hint="eastAsia" w:asciiTheme="minorEastAsia" w:hAnsiTheme="minorEastAsia" w:eastAsiaTheme="minorEastAsia" w:cstheme="minorEastAsia"/>
          <w:b/>
          <w:bCs/>
          <w:color w:val="auto"/>
          <w:sz w:val="24"/>
          <w:szCs w:val="24"/>
          <w:highlight w:val="none"/>
          <w:lang w:val="en-US" w:eastAsia="zh-CN"/>
        </w:rPr>
        <w:t>、商务要求</w:t>
      </w:r>
    </w:p>
    <w:p w14:paraId="4CF64539">
      <w:pPr>
        <w:keepNext w:val="0"/>
        <w:keepLines w:val="0"/>
        <w:pageBreakBefore w:val="0"/>
        <w:widowControl w:val="0"/>
        <w:spacing w:line="460" w:lineRule="exact"/>
        <w:ind w:firstLine="480"/>
        <w:rPr>
          <w:rFonts w:hint="eastAsia" w:asciiTheme="minorEastAsia" w:hAnsiTheme="minorEastAsia" w:eastAsiaTheme="minorEastAsia" w:cstheme="minorEastAsia"/>
          <w:color w:val="auto"/>
          <w:sz w:val="24"/>
          <w:szCs w:val="24"/>
          <w:highlight w:val="none"/>
        </w:rPr>
      </w:pPr>
      <w:bookmarkStart w:id="172" w:name="_Hlk157591027"/>
      <w:bookmarkStart w:id="173" w:name="_Hlk161135196"/>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项目完成</w:t>
      </w:r>
      <w:bookmarkEnd w:id="172"/>
      <w:r>
        <w:rPr>
          <w:rFonts w:hint="eastAsia" w:asciiTheme="minorEastAsia" w:hAnsiTheme="minorEastAsia" w:eastAsiaTheme="minorEastAsia" w:cstheme="minorEastAsia"/>
          <w:color w:val="auto"/>
          <w:sz w:val="24"/>
          <w:szCs w:val="24"/>
          <w:highlight w:val="none"/>
        </w:rPr>
        <w:t>时间、地点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要求</w:t>
      </w:r>
      <w:r>
        <w:rPr>
          <w:rFonts w:hint="eastAsia" w:asciiTheme="minorEastAsia" w:hAnsiTheme="minorEastAsia" w:eastAsiaTheme="minorEastAsia" w:cstheme="minorEastAsia"/>
          <w:color w:val="auto"/>
          <w:sz w:val="24"/>
          <w:szCs w:val="24"/>
          <w:highlight w:val="none"/>
        </w:rPr>
        <w:t>：</w:t>
      </w:r>
    </w:p>
    <w:p w14:paraId="01634388">
      <w:pPr>
        <w:spacing w:line="46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1.项目完成时间：</w:t>
      </w:r>
      <w:r>
        <w:rPr>
          <w:rFonts w:hint="eastAsia" w:asciiTheme="minorEastAsia" w:hAnsiTheme="minorEastAsia" w:eastAsiaTheme="minorEastAsia" w:cstheme="minorEastAsia"/>
          <w:color w:val="auto"/>
          <w:sz w:val="24"/>
          <w:szCs w:val="24"/>
          <w:highlight w:val="none"/>
          <w:lang w:eastAsia="zh-CN"/>
        </w:rPr>
        <w:t>合同签订后</w:t>
      </w:r>
      <w:r>
        <w:rPr>
          <w:rFonts w:hint="eastAsia" w:asciiTheme="minorEastAsia" w:hAnsiTheme="minorEastAsia" w:cstheme="minorEastAsia"/>
          <w:color w:val="auto"/>
          <w:sz w:val="24"/>
          <w:szCs w:val="24"/>
          <w:highlight w:val="none"/>
          <w:lang w:eastAsia="zh-CN"/>
        </w:rPr>
        <w:t>30日历天</w:t>
      </w:r>
      <w:r>
        <w:rPr>
          <w:rFonts w:hint="eastAsia" w:asciiTheme="minorEastAsia" w:hAnsiTheme="minorEastAsia" w:eastAsiaTheme="minorEastAsia" w:cstheme="minorEastAsia"/>
          <w:color w:val="auto"/>
          <w:sz w:val="24"/>
          <w:szCs w:val="24"/>
          <w:highlight w:val="none"/>
          <w:lang w:eastAsia="zh-CN"/>
        </w:rPr>
        <w:t>内货物全部送达招标人指定位置且安装、调试完毕，并确保正常稳定运行。</w:t>
      </w:r>
    </w:p>
    <w:p w14:paraId="7DF83B44">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2.项目地点：采购人指定地点。</w:t>
      </w:r>
    </w:p>
    <w:p w14:paraId="06ABDA9E">
      <w:pPr>
        <w:spacing w:line="46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3.中标人需严密组织设备安装工作，并建立项目台账资料备查。</w:t>
      </w:r>
    </w:p>
    <w:p w14:paraId="04BE5D5C">
      <w:pPr>
        <w:keepNext w:val="0"/>
        <w:keepLines w:val="0"/>
        <w:pageBreakBefore w:val="0"/>
        <w:widowControl w:val="0"/>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培训</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质保要求及</w:t>
      </w:r>
      <w:r>
        <w:rPr>
          <w:rFonts w:hint="eastAsia" w:asciiTheme="minorEastAsia" w:hAnsiTheme="minorEastAsia" w:eastAsiaTheme="minorEastAsia" w:cstheme="minorEastAsia"/>
          <w:color w:val="auto"/>
          <w:sz w:val="24"/>
          <w:szCs w:val="24"/>
          <w:highlight w:val="none"/>
        </w:rPr>
        <w:t>售后服务</w:t>
      </w:r>
    </w:p>
    <w:p w14:paraId="63E7E354">
      <w:pPr>
        <w:keepNext w:val="0"/>
        <w:keepLines w:val="0"/>
        <w:pageBreakBefore w:val="0"/>
        <w:widowControl w:val="0"/>
        <w:spacing w:line="460" w:lineRule="exact"/>
        <w:ind w:firstLine="48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1.培训要求</w:t>
      </w:r>
    </w:p>
    <w:p w14:paraId="5003756F">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根据采购单位要求，中标人提供现场操作培训，至操作人员可熟练操作。</w:t>
      </w:r>
    </w:p>
    <w:p w14:paraId="2C97E8AC">
      <w:pPr>
        <w:spacing w:line="46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投标人为本项目培训中自有或聘用的培训师具有物理、化学、生物或信息技术专业高级教师资格证书</w:t>
      </w:r>
      <w:r>
        <w:rPr>
          <w:rFonts w:hint="eastAsia" w:asciiTheme="minorEastAsia" w:hAnsiTheme="minorEastAsia" w:cstheme="minorEastAsia"/>
          <w:color w:val="auto"/>
          <w:sz w:val="24"/>
          <w:szCs w:val="24"/>
          <w:highlight w:val="none"/>
          <w:lang w:eastAsia="zh-CN"/>
        </w:rPr>
        <w:t>。</w:t>
      </w:r>
    </w:p>
    <w:p w14:paraId="7710358E">
      <w:pPr>
        <w:spacing w:line="46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（3）软件</w:t>
      </w:r>
      <w:r>
        <w:rPr>
          <w:rFonts w:hint="eastAsia" w:asciiTheme="minorEastAsia" w:hAnsiTheme="minorEastAsia" w:eastAsiaTheme="minorEastAsia" w:cstheme="minorEastAsia"/>
          <w:color w:val="auto"/>
          <w:sz w:val="24"/>
          <w:szCs w:val="24"/>
          <w:highlight w:val="none"/>
          <w:lang w:val="en-US" w:eastAsia="zh-CN"/>
        </w:rPr>
        <w:t>产品厂家提供不少于6次的免费培训，并配合</w:t>
      </w:r>
      <w:r>
        <w:rPr>
          <w:rFonts w:hint="eastAsia" w:asciiTheme="minorEastAsia" w:hAnsiTheme="minorEastAsia" w:cstheme="minorEastAsia"/>
          <w:color w:val="auto"/>
          <w:sz w:val="24"/>
          <w:szCs w:val="24"/>
          <w:highlight w:val="none"/>
          <w:lang w:val="en-US" w:eastAsia="zh-CN"/>
        </w:rPr>
        <w:t>学校</w:t>
      </w:r>
      <w:r>
        <w:rPr>
          <w:rFonts w:hint="eastAsia" w:asciiTheme="minorEastAsia" w:hAnsiTheme="minorEastAsia" w:eastAsiaTheme="minorEastAsia" w:cstheme="minorEastAsia"/>
          <w:color w:val="auto"/>
          <w:sz w:val="24"/>
          <w:szCs w:val="24"/>
          <w:highlight w:val="none"/>
          <w:lang w:val="en-US" w:eastAsia="zh-CN"/>
        </w:rPr>
        <w:t>每年参与省、市等有关部门组织的教学比赛3次以上（上级教育主管部门审批备案的），申请部级、省级课题时的培训和辅助制作相关内容 ，组织申报课题项目至少1个。（投标时投标人仅提供承诺书即可，中标人合同签订前提供相关厂家承诺）</w:t>
      </w:r>
    </w:p>
    <w:p w14:paraId="4F469897">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cstheme="minorEastAsia"/>
          <w:color w:val="auto"/>
          <w:sz w:val="24"/>
          <w:szCs w:val="24"/>
          <w:highlight w:val="none"/>
          <w:lang w:val="en-US" w:eastAsia="zh-CN"/>
        </w:rPr>
        <w:t>质保</w:t>
      </w:r>
      <w:r>
        <w:rPr>
          <w:rFonts w:hint="eastAsia" w:asciiTheme="minorEastAsia" w:hAnsiTheme="minorEastAsia" w:eastAsiaTheme="minorEastAsia" w:cstheme="minorEastAsia"/>
          <w:color w:val="auto"/>
          <w:sz w:val="24"/>
          <w:szCs w:val="24"/>
          <w:highlight w:val="none"/>
        </w:rPr>
        <w:t>要求：</w:t>
      </w:r>
    </w:p>
    <w:p w14:paraId="28D40FB4">
      <w:pPr>
        <w:spacing w:line="460" w:lineRule="exact"/>
        <w:ind w:firstLine="48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p>
    <w:p w14:paraId="0E624A58">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乙方应按招标文件规定的</w:t>
      </w:r>
      <w:r>
        <w:rPr>
          <w:rFonts w:hint="eastAsia" w:asciiTheme="minorEastAsia" w:hAnsiTheme="minorEastAsia" w:eastAsiaTheme="minorEastAsia" w:cstheme="minorEastAsia"/>
          <w:color w:val="auto"/>
          <w:sz w:val="24"/>
          <w:szCs w:val="24"/>
          <w:highlight w:val="none"/>
          <w:lang w:val="en-US" w:eastAsia="zh-CN"/>
        </w:rPr>
        <w:t>服务</w:t>
      </w:r>
      <w:r>
        <w:rPr>
          <w:rFonts w:hint="eastAsia" w:asciiTheme="minorEastAsia" w:hAnsiTheme="minorEastAsia" w:eastAsiaTheme="minorEastAsia" w:cstheme="minorEastAsia"/>
          <w:color w:val="auto"/>
          <w:sz w:val="24"/>
          <w:szCs w:val="24"/>
          <w:highlight w:val="none"/>
        </w:rPr>
        <w:t>技术要求、质量标准向甲方提供</w:t>
      </w:r>
      <w:r>
        <w:rPr>
          <w:rFonts w:hint="eastAsia" w:asciiTheme="minorEastAsia" w:hAnsiTheme="minorEastAsia" w:eastAsiaTheme="minorEastAsia" w:cstheme="minorEastAsia"/>
          <w:color w:val="auto"/>
          <w:sz w:val="24"/>
          <w:szCs w:val="24"/>
          <w:highlight w:val="none"/>
          <w:lang w:val="en-US" w:eastAsia="zh-CN"/>
        </w:rPr>
        <w:t>合格服务</w:t>
      </w:r>
      <w:r>
        <w:rPr>
          <w:rFonts w:hint="eastAsia" w:asciiTheme="minorEastAsia" w:hAnsiTheme="minorEastAsia" w:eastAsiaTheme="minorEastAsia" w:cstheme="minorEastAsia"/>
          <w:color w:val="auto"/>
          <w:sz w:val="24"/>
          <w:szCs w:val="24"/>
          <w:highlight w:val="none"/>
        </w:rPr>
        <w:t>。</w:t>
      </w:r>
    </w:p>
    <w:p w14:paraId="7536FF6B">
      <w:pPr>
        <w:spacing w:line="46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p>
    <w:p w14:paraId="25D9BB53">
      <w:pPr>
        <w:spacing w:line="46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质量保证期满后，供应商和厂家应同样提供免费电话咨询服务，并以优惠价格提供售后服务</w:t>
      </w:r>
      <w:r>
        <w:rPr>
          <w:rFonts w:hint="eastAsia" w:asciiTheme="minorEastAsia" w:hAnsiTheme="minorEastAsia" w:eastAsiaTheme="minorEastAsia" w:cstheme="minorEastAsia"/>
          <w:color w:val="auto"/>
          <w:sz w:val="24"/>
          <w:szCs w:val="24"/>
          <w:highlight w:val="none"/>
          <w:lang w:eastAsia="zh-CN"/>
        </w:rPr>
        <w:t>。</w:t>
      </w:r>
    </w:p>
    <w:p w14:paraId="39BB7CF5">
      <w:pPr>
        <w:spacing w:line="46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如甲方使用不当造成货物的毁损，乙方有义务协助维修。</w:t>
      </w:r>
    </w:p>
    <w:p w14:paraId="78018D0D">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遵守相关保密协议，保证不擅自使用用户数据，并不将用户数据泄露给第三方。</w:t>
      </w:r>
    </w:p>
    <w:p w14:paraId="6182BE5C">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（三）验收</w:t>
      </w:r>
    </w:p>
    <w:p w14:paraId="1C72F67B">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甲方依法组织履约验收工作。</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按采购人的招标文件、投标人的响应文件、国家及行业相关规定验收</w:t>
      </w:r>
      <w:r>
        <w:rPr>
          <w:rFonts w:hint="eastAsia" w:asciiTheme="minorEastAsia" w:hAnsiTheme="minorEastAsia" w:eastAsiaTheme="minorEastAsia" w:cstheme="minorEastAsia"/>
          <w:color w:val="auto"/>
          <w:sz w:val="24"/>
          <w:szCs w:val="24"/>
          <w:highlight w:val="none"/>
          <w:lang w:eastAsia="zh-CN"/>
        </w:rPr>
        <w:t>）</w:t>
      </w:r>
    </w:p>
    <w:p w14:paraId="112DF410">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213A7F3">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对于实际使用人和甲方分离的项目，甲方邀请实际使用人参与验收。</w:t>
      </w:r>
    </w:p>
    <w:p w14:paraId="11D939C2">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如有必要，甲方邀请参加本项目的其他供应商或第三方专业机构及专家参与验收，相关意见将作为验收书的参考资料。</w:t>
      </w:r>
    </w:p>
    <w:p w14:paraId="735E2589">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8646AA8">
      <w:pPr>
        <w:spacing w:line="46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验收标准如下：</w:t>
      </w:r>
    </w:p>
    <w:p w14:paraId="02090207">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A、产品为全新，未使用过的原装合格正品，安装质量符合各项技术标准和国家强制性标准；</w:t>
      </w:r>
    </w:p>
    <w:p w14:paraId="794009A9">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B、货物到达现场后，乙方必须在使用单位人员在场情况下当面开箱，共同清点、检查外观，箱记录，双方签字确认。</w:t>
      </w:r>
    </w:p>
    <w:p w14:paraId="61340599">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C、乙方应保证货物到达甲方所在地完好无损，如有缺漏、损坏，由乙方负责调换、补齐或赔偿。</w:t>
      </w:r>
    </w:p>
    <w:p w14:paraId="7317D299">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D、乙方应提供完备的技术资料、装箱单和合格证等，验收合格条件（标准）如下：</w:t>
      </w:r>
    </w:p>
    <w:p w14:paraId="23DF7E94">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①设备技术参数与采购合同一致，性能指标达到规定的标准。</w:t>
      </w:r>
    </w:p>
    <w:p w14:paraId="23896C38">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②货物技术资料、装箱单、合格证等资料齐全。</w:t>
      </w:r>
    </w:p>
    <w:p w14:paraId="34C3EEEC">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③在系统试运行期间所出现的问题得到解决，并运行正常。</w:t>
      </w:r>
    </w:p>
    <w:p w14:paraId="6B009020">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④在规定时间内完成交货并验收，并经甲方确认。</w:t>
      </w:r>
    </w:p>
    <w:p w14:paraId="343311FC">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E、乙方须完成甲方所有采购的软硬件产品安装调试工作，须符合甲方要求并试运行1个月后，才作为最终验收。</w:t>
      </w:r>
    </w:p>
    <w:p w14:paraId="7E544EBE">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F、乙方提供的货物未达到采购文件规定要求，且对甲方造成损失的，由乙方承担一切责任，并赔偿所造成的损失。</w:t>
      </w:r>
    </w:p>
    <w:p w14:paraId="7EAF72E1">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G、甲方可邀请国家认可的质量检测机构参加验收工作。</w:t>
      </w:r>
    </w:p>
    <w:p w14:paraId="11ECDF85">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H、甲方需要制造商对乙方交付的产品（包括质量、技术参数等）进行确认的，乙方须无条件配合，并出具书面确认证明。</w:t>
      </w:r>
    </w:p>
    <w:p w14:paraId="0D8F6CDD">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I、产品包装材料归甲方所有。</w:t>
      </w:r>
    </w:p>
    <w:p w14:paraId="2C6F36F6">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6DD15BD">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（四）付款方式：</w:t>
      </w:r>
      <w:bookmarkEnd w:id="173"/>
    </w:p>
    <w:p w14:paraId="29DFD4EF">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合同签订后30日内，支付合同金额30%的预付款。</w:t>
      </w:r>
    </w:p>
    <w:p w14:paraId="6B741961">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2、所有货物安装完毕，甲方组织初步验收，初步验收合格后收到乙方发票10个工作日内甲方向乙方支付至合同总价的</w:t>
      </w: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lang w:val="en-US" w:eastAsia="zh-CN"/>
        </w:rPr>
        <w:t>0%款项</w:t>
      </w:r>
      <w:r>
        <w:rPr>
          <w:rFonts w:hint="eastAsia" w:asciiTheme="minorEastAsia" w:hAnsiTheme="minorEastAsia" w:eastAsiaTheme="minorEastAsia" w:cstheme="minorEastAsia"/>
          <w:color w:val="auto"/>
          <w:sz w:val="24"/>
          <w:szCs w:val="24"/>
          <w:highlight w:val="none"/>
          <w:lang w:eastAsia="zh-CN"/>
        </w:rPr>
        <w:t>；</w:t>
      </w:r>
    </w:p>
    <w:p w14:paraId="49DEF8D9">
      <w:pPr>
        <w:spacing w:line="46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3、初步验收合格且项目运行满12个月后，甲方组织最终验收，最终验收合格后收到乙方发票10个工作日内甲方付清货款；</w:t>
      </w:r>
    </w:p>
    <w:p w14:paraId="32A57B85">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在签订合同时，乙方明确表示无需预付款或者主动要求降低预付款比例的，甲方可不适用上述关于预付款的规定。</w:t>
      </w:r>
    </w:p>
    <w:p w14:paraId="48C1A00D">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结算款项时乙方须出具相应金额的有效票据。</w:t>
      </w:r>
    </w:p>
    <w:p w14:paraId="77438CB7">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甲方原则上自收到发票后</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个工作日内将资金支付到乙方账户。</w:t>
      </w:r>
    </w:p>
    <w:p w14:paraId="748ED943">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当采购数量与实际使用数量不一致时，乙方应根据实际使用量供货，合同的最终结算金额按实际使用量乘以成交单价进行计算。</w:t>
      </w:r>
    </w:p>
    <w:p w14:paraId="096D1719">
      <w:pPr>
        <w:spacing w:line="460" w:lineRule="exact"/>
        <w:ind w:firstLine="480"/>
        <w:rPr>
          <w:rFonts w:hint="eastAsia" w:eastAsia="宋体" w:asciiTheme="minorEastAsia" w:hAnsiTheme="minorEastAsia" w:cstheme="minorEastAsia"/>
          <w:color w:val="auto"/>
          <w:sz w:val="24"/>
          <w:szCs w:val="24"/>
          <w:highlight w:val="none"/>
          <w:lang w:val="en-US" w:eastAsia="zh-CN"/>
        </w:rPr>
      </w:pPr>
      <w:r>
        <w:rPr>
          <w:rFonts w:hint="eastAsia" w:eastAsia="宋体" w:asciiTheme="minorEastAsia" w:hAnsiTheme="minorEastAsia" w:cstheme="minorEastAsia"/>
          <w:color w:val="auto"/>
          <w:sz w:val="24"/>
          <w:szCs w:val="24"/>
          <w:highlight w:val="none"/>
          <w:lang w:val="en-US" w:eastAsia="zh-CN"/>
        </w:rPr>
        <w:t>注：依据《保障中小企业款项支付条例》（2020年7月5日中华人民共和国国务院令第728号公布　2025年3月17日中华人民共和国国务院令第802号修订 自2025年6月1日起施行）第九条　机关、事业单位从中小企业采购货物、工程、服务，应当自货物、工程、服务交付之日起30日内支付款项；合同另有约定的，从其约定，但付款期限最长不得超过60日。</w:t>
      </w:r>
    </w:p>
    <w:p w14:paraId="71648C76">
      <w:pPr>
        <w:spacing w:line="460" w:lineRule="exact"/>
        <w:ind w:left="42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五、演示要求 </w:t>
      </w:r>
    </w:p>
    <w:p w14:paraId="4A70DE6D">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上传视频演示</w:t>
      </w:r>
    </w:p>
    <w:p w14:paraId="0C573497">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（1）上传视频及演示内容：</w:t>
      </w:r>
      <w:r>
        <w:rPr>
          <w:rFonts w:hint="eastAsia" w:asciiTheme="minorEastAsia" w:hAnsiTheme="minorEastAsia" w:eastAsiaTheme="minorEastAsia" w:cstheme="minorEastAsia"/>
          <w:color w:val="auto"/>
          <w:sz w:val="24"/>
          <w:szCs w:val="24"/>
          <w:highlight w:val="none"/>
        </w:rPr>
        <w:t>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在演示过程中如若出现无法打开，识别，格式错误等情况导致无法进行评审打分的，责任由投标人承担，演示视频超出规定时间的视为不响应，不得分。</w:t>
      </w:r>
    </w:p>
    <w:p w14:paraId="5AFC34DC">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其他视频要求：</w:t>
      </w:r>
    </w:p>
    <w:p w14:paraId="4ADA3D0E">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请按照演示内容逐条演示，明确演示功能是否满足以及实现途径。</w:t>
      </w:r>
    </w:p>
    <w:p w14:paraId="6C8726A8">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视频质量要求画面清晰可见，语音清晰可辨，因视频制作质量导致演示内容无法满足招标文件要求的，视为负偏离。</w:t>
      </w:r>
    </w:p>
    <w:p w14:paraId="2535BBFD">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系统演示视频不得为PPT等静态图片方式，否则视为负偏离。</w:t>
      </w:r>
    </w:p>
    <w:p w14:paraId="0EF5ED16">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3.演示内容：</w:t>
      </w:r>
    </w:p>
    <w:p w14:paraId="6F05BE4F">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详见评标方法与评标标准。</w:t>
      </w:r>
    </w:p>
    <w:p w14:paraId="2883C295">
      <w:pPr>
        <w:spacing w:line="460" w:lineRule="exact"/>
        <w:ind w:left="420"/>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六、</w:t>
      </w:r>
      <w:r>
        <w:rPr>
          <w:rFonts w:hint="eastAsia" w:ascii="宋体" w:hAnsi="宋体" w:cs="宋体"/>
          <w:b/>
          <w:bCs/>
          <w:color w:val="auto"/>
          <w:sz w:val="28"/>
          <w:szCs w:val="28"/>
          <w:highlight w:val="none"/>
        </w:rPr>
        <w:t>本项目</w:t>
      </w:r>
      <w:r>
        <w:rPr>
          <w:rFonts w:hint="eastAsia" w:ascii="宋体" w:hAnsi="宋体" w:cs="宋体"/>
          <w:b/>
          <w:bCs/>
          <w:color w:val="auto"/>
          <w:sz w:val="28"/>
          <w:szCs w:val="28"/>
          <w:highlight w:val="none"/>
          <w:u w:val="single"/>
        </w:rPr>
        <w:t xml:space="preserve"> 不接受 </w:t>
      </w:r>
      <w:r>
        <w:rPr>
          <w:rFonts w:hint="eastAsia" w:ascii="宋体" w:hAnsi="宋体" w:cs="宋体"/>
          <w:b/>
          <w:bCs/>
          <w:color w:val="auto"/>
          <w:sz w:val="28"/>
          <w:szCs w:val="28"/>
          <w:highlight w:val="none"/>
        </w:rPr>
        <w:t>进口产品投标（接受/不接受）</w:t>
      </w:r>
    </w:p>
    <w:p w14:paraId="70F90C36">
      <w:pPr>
        <w:spacing w:line="460" w:lineRule="exact"/>
        <w:ind w:left="420"/>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七、</w:t>
      </w:r>
      <w:r>
        <w:rPr>
          <w:rFonts w:hint="eastAsia" w:ascii="宋体" w:hAnsi="宋体" w:cs="宋体"/>
          <w:b/>
          <w:bCs/>
          <w:color w:val="auto"/>
          <w:sz w:val="28"/>
          <w:szCs w:val="28"/>
          <w:highlight w:val="none"/>
        </w:rPr>
        <w:t>采购标的对应的中小企业划分标准所属行业一览表</w:t>
      </w:r>
    </w:p>
    <w:tbl>
      <w:tblPr>
        <w:tblStyle w:val="35"/>
        <w:tblW w:w="879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4439"/>
        <w:gridCol w:w="3494"/>
      </w:tblGrid>
      <w:tr w14:paraId="3EC18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blCellSpacing w:w="0" w:type="dxa"/>
          <w:jc w:val="center"/>
        </w:trPr>
        <w:tc>
          <w:tcPr>
            <w:tcW w:w="866" w:type="dxa"/>
            <w:shd w:val="clear" w:color="auto" w:fill="auto"/>
            <w:noWrap w:val="0"/>
            <w:vAlign w:val="center"/>
          </w:tcPr>
          <w:p w14:paraId="11FF938A">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序号</w:t>
            </w:r>
          </w:p>
        </w:tc>
        <w:tc>
          <w:tcPr>
            <w:tcW w:w="4439" w:type="dxa"/>
            <w:shd w:val="clear" w:color="auto" w:fill="auto"/>
            <w:noWrap w:val="0"/>
            <w:vAlign w:val="center"/>
          </w:tcPr>
          <w:p w14:paraId="108E02B1">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采购标的</w:t>
            </w:r>
          </w:p>
        </w:tc>
        <w:tc>
          <w:tcPr>
            <w:tcW w:w="3494" w:type="dxa"/>
            <w:shd w:val="clear" w:color="auto" w:fill="auto"/>
            <w:noWrap w:val="0"/>
            <w:vAlign w:val="center"/>
          </w:tcPr>
          <w:p w14:paraId="2BA7357A">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对应中小企业划分标准所属行业</w:t>
            </w:r>
          </w:p>
        </w:tc>
      </w:tr>
      <w:tr w14:paraId="6C7A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5EB44256">
            <w:pPr>
              <w:keepNext w:val="0"/>
              <w:keepLines w:val="0"/>
              <w:widowControl/>
              <w:suppressLineNumbers w:val="0"/>
              <w:jc w:val="center"/>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1</w:t>
            </w:r>
          </w:p>
        </w:tc>
        <w:tc>
          <w:tcPr>
            <w:tcW w:w="4439" w:type="dxa"/>
            <w:shd w:val="clear" w:color="auto" w:fill="auto"/>
            <w:noWrap w:val="0"/>
            <w:vAlign w:val="center"/>
          </w:tcPr>
          <w:p w14:paraId="37A75121">
            <w:pPr>
              <w:widowControl/>
              <w:jc w:val="center"/>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rPr>
              <w:t>穿戴式学生VR终端</w:t>
            </w:r>
          </w:p>
        </w:tc>
        <w:tc>
          <w:tcPr>
            <w:tcW w:w="3494" w:type="dxa"/>
            <w:shd w:val="clear" w:color="auto" w:fill="auto"/>
            <w:noWrap w:val="0"/>
            <w:vAlign w:val="center"/>
          </w:tcPr>
          <w:p w14:paraId="10CAF135">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工业</w:t>
            </w:r>
          </w:p>
        </w:tc>
      </w:tr>
      <w:tr w14:paraId="13EB0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5B8D69B0">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2</w:t>
            </w:r>
          </w:p>
        </w:tc>
        <w:tc>
          <w:tcPr>
            <w:tcW w:w="4439" w:type="dxa"/>
            <w:shd w:val="clear" w:color="auto" w:fill="auto"/>
            <w:noWrap w:val="0"/>
            <w:vAlign w:val="center"/>
          </w:tcPr>
          <w:p w14:paraId="760D18E5">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穿戴式学生VR终端系统</w:t>
            </w:r>
          </w:p>
        </w:tc>
        <w:tc>
          <w:tcPr>
            <w:tcW w:w="3494" w:type="dxa"/>
            <w:shd w:val="clear" w:color="auto" w:fill="auto"/>
            <w:noWrap w:val="0"/>
            <w:vAlign w:val="center"/>
          </w:tcPr>
          <w:p w14:paraId="1E0AAF24">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软件和信息技术服务业</w:t>
            </w:r>
          </w:p>
        </w:tc>
      </w:tr>
      <w:tr w14:paraId="52D5F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3133E96F">
            <w:pPr>
              <w:keepNext w:val="0"/>
              <w:keepLines w:val="0"/>
              <w:widowControl/>
              <w:suppressLineNumbers w:val="0"/>
              <w:jc w:val="center"/>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3</w:t>
            </w:r>
          </w:p>
        </w:tc>
        <w:tc>
          <w:tcPr>
            <w:tcW w:w="4439" w:type="dxa"/>
            <w:shd w:val="clear" w:color="auto" w:fill="auto"/>
            <w:noWrap w:val="0"/>
            <w:vAlign w:val="center"/>
          </w:tcPr>
          <w:p w14:paraId="16068E8E">
            <w:pPr>
              <w:widowControl/>
              <w:jc w:val="center"/>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rPr>
              <w:t>教师端VR教学管理系统</w:t>
            </w:r>
          </w:p>
        </w:tc>
        <w:tc>
          <w:tcPr>
            <w:tcW w:w="3494" w:type="dxa"/>
            <w:shd w:val="clear" w:color="auto" w:fill="auto"/>
            <w:noWrap w:val="0"/>
            <w:vAlign w:val="center"/>
          </w:tcPr>
          <w:p w14:paraId="22C9FF5F">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软件和信息技术服务业</w:t>
            </w:r>
          </w:p>
        </w:tc>
      </w:tr>
      <w:tr w14:paraId="0E64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12F7DEB1">
            <w:pPr>
              <w:keepNext w:val="0"/>
              <w:keepLines w:val="0"/>
              <w:widowControl/>
              <w:suppressLineNumbers w:val="0"/>
              <w:jc w:val="center"/>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4</w:t>
            </w:r>
          </w:p>
        </w:tc>
        <w:tc>
          <w:tcPr>
            <w:tcW w:w="4439" w:type="dxa"/>
            <w:shd w:val="clear" w:color="auto" w:fill="auto"/>
            <w:noWrap w:val="0"/>
            <w:vAlign w:val="center"/>
          </w:tcPr>
          <w:p w14:paraId="30022A23">
            <w:pPr>
              <w:widowControl/>
              <w:jc w:val="center"/>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rPr>
              <w:t>融合学科VR教学资源</w:t>
            </w:r>
          </w:p>
        </w:tc>
        <w:tc>
          <w:tcPr>
            <w:tcW w:w="3494" w:type="dxa"/>
            <w:shd w:val="clear" w:color="auto" w:fill="auto"/>
            <w:noWrap w:val="0"/>
            <w:vAlign w:val="center"/>
          </w:tcPr>
          <w:p w14:paraId="2866D856">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工业</w:t>
            </w:r>
          </w:p>
        </w:tc>
      </w:tr>
      <w:tr w14:paraId="40773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blCellSpacing w:w="0" w:type="dxa"/>
          <w:jc w:val="center"/>
        </w:trPr>
        <w:tc>
          <w:tcPr>
            <w:tcW w:w="866" w:type="dxa"/>
            <w:shd w:val="clear" w:color="auto" w:fill="auto"/>
            <w:noWrap w:val="0"/>
            <w:vAlign w:val="center"/>
          </w:tcPr>
          <w:p w14:paraId="3ED0C4E9">
            <w:pPr>
              <w:keepNext w:val="0"/>
              <w:keepLines w:val="0"/>
              <w:widowControl/>
              <w:suppressLineNumbers w:val="0"/>
              <w:jc w:val="center"/>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5</w:t>
            </w:r>
          </w:p>
        </w:tc>
        <w:tc>
          <w:tcPr>
            <w:tcW w:w="4439" w:type="dxa"/>
            <w:shd w:val="clear" w:color="auto" w:fill="auto"/>
            <w:noWrap w:val="0"/>
            <w:vAlign w:val="center"/>
          </w:tcPr>
          <w:p w14:paraId="2876344F">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小学科学VR教学系统</w:t>
            </w:r>
          </w:p>
        </w:tc>
        <w:tc>
          <w:tcPr>
            <w:tcW w:w="3494" w:type="dxa"/>
            <w:shd w:val="clear" w:color="auto" w:fill="auto"/>
            <w:noWrap w:val="0"/>
            <w:vAlign w:val="center"/>
          </w:tcPr>
          <w:p w14:paraId="04E315DD">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软件和信息技术服务业</w:t>
            </w:r>
          </w:p>
        </w:tc>
      </w:tr>
      <w:tr w14:paraId="5B821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12199F6F">
            <w:pPr>
              <w:keepNext w:val="0"/>
              <w:keepLines w:val="0"/>
              <w:widowControl/>
              <w:suppressLineNumbers w:val="0"/>
              <w:jc w:val="center"/>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6</w:t>
            </w:r>
          </w:p>
        </w:tc>
        <w:tc>
          <w:tcPr>
            <w:tcW w:w="4439" w:type="dxa"/>
            <w:shd w:val="clear" w:color="auto" w:fill="auto"/>
            <w:noWrap w:val="0"/>
            <w:vAlign w:val="center"/>
          </w:tcPr>
          <w:p w14:paraId="3DA8CB90">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设备充电消毒一体柜</w:t>
            </w:r>
          </w:p>
        </w:tc>
        <w:tc>
          <w:tcPr>
            <w:tcW w:w="3494" w:type="dxa"/>
            <w:shd w:val="clear" w:color="auto" w:fill="auto"/>
            <w:noWrap w:val="0"/>
            <w:vAlign w:val="center"/>
          </w:tcPr>
          <w:p w14:paraId="702D9B86">
            <w:pPr>
              <w:keepNext w:val="0"/>
              <w:keepLines w:val="0"/>
              <w:widowControl/>
              <w:suppressLineNumbers w:val="0"/>
              <w:jc w:val="center"/>
              <w:rPr>
                <w:rFonts w:hint="default"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工业</w:t>
            </w:r>
          </w:p>
        </w:tc>
      </w:tr>
      <w:tr w14:paraId="160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5545016E">
            <w:pPr>
              <w:keepNext w:val="0"/>
              <w:keepLines w:val="0"/>
              <w:widowControl/>
              <w:suppressLineNumbers w:val="0"/>
              <w:jc w:val="center"/>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7</w:t>
            </w:r>
          </w:p>
        </w:tc>
        <w:tc>
          <w:tcPr>
            <w:tcW w:w="4439" w:type="dxa"/>
            <w:shd w:val="clear" w:color="auto" w:fill="auto"/>
            <w:noWrap w:val="0"/>
            <w:vAlign w:val="center"/>
          </w:tcPr>
          <w:p w14:paraId="255F6BA4">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无线AP</w:t>
            </w:r>
          </w:p>
        </w:tc>
        <w:tc>
          <w:tcPr>
            <w:tcW w:w="3494" w:type="dxa"/>
            <w:shd w:val="clear" w:color="auto" w:fill="auto"/>
            <w:noWrap w:val="0"/>
            <w:vAlign w:val="center"/>
          </w:tcPr>
          <w:p w14:paraId="5B8E748B">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工业</w:t>
            </w:r>
          </w:p>
        </w:tc>
      </w:tr>
      <w:tr w14:paraId="3AB8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1B8166C9">
            <w:pPr>
              <w:keepNext w:val="0"/>
              <w:keepLines w:val="0"/>
              <w:widowControl/>
              <w:suppressLineNumbers w:val="0"/>
              <w:jc w:val="center"/>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8</w:t>
            </w:r>
          </w:p>
        </w:tc>
        <w:tc>
          <w:tcPr>
            <w:tcW w:w="4439" w:type="dxa"/>
            <w:shd w:val="clear" w:color="auto" w:fill="auto"/>
            <w:noWrap w:val="0"/>
            <w:vAlign w:val="center"/>
          </w:tcPr>
          <w:p w14:paraId="3D92C4F8">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裸眼XR便携终端</w:t>
            </w:r>
          </w:p>
        </w:tc>
        <w:tc>
          <w:tcPr>
            <w:tcW w:w="3494" w:type="dxa"/>
            <w:shd w:val="clear" w:color="auto" w:fill="auto"/>
            <w:noWrap w:val="0"/>
            <w:vAlign w:val="center"/>
          </w:tcPr>
          <w:p w14:paraId="08A6013C">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工业</w:t>
            </w:r>
          </w:p>
        </w:tc>
      </w:tr>
      <w:tr w14:paraId="0372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3ED1C29A">
            <w:pPr>
              <w:keepNext w:val="0"/>
              <w:keepLines w:val="0"/>
              <w:widowControl/>
              <w:suppressLineNumbers w:val="0"/>
              <w:jc w:val="center"/>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9</w:t>
            </w:r>
          </w:p>
        </w:tc>
        <w:tc>
          <w:tcPr>
            <w:tcW w:w="4439" w:type="dxa"/>
            <w:shd w:val="clear" w:color="auto" w:fill="auto"/>
            <w:noWrap w:val="0"/>
            <w:vAlign w:val="center"/>
          </w:tcPr>
          <w:p w14:paraId="2A416CF2">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裸眼XR便携终端配件包</w:t>
            </w:r>
          </w:p>
        </w:tc>
        <w:tc>
          <w:tcPr>
            <w:tcW w:w="3494" w:type="dxa"/>
            <w:shd w:val="clear" w:color="auto" w:fill="auto"/>
            <w:noWrap w:val="0"/>
            <w:vAlign w:val="center"/>
          </w:tcPr>
          <w:p w14:paraId="49364B90">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工业</w:t>
            </w:r>
          </w:p>
        </w:tc>
      </w:tr>
      <w:tr w14:paraId="670E8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1E3BD77E">
            <w:pPr>
              <w:keepNext w:val="0"/>
              <w:keepLines w:val="0"/>
              <w:widowControl/>
              <w:suppressLineNumbers w:val="0"/>
              <w:jc w:val="center"/>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10</w:t>
            </w:r>
          </w:p>
        </w:tc>
        <w:tc>
          <w:tcPr>
            <w:tcW w:w="4439" w:type="dxa"/>
            <w:shd w:val="clear" w:color="auto" w:fill="auto"/>
            <w:noWrap w:val="0"/>
            <w:vAlign w:val="center"/>
          </w:tcPr>
          <w:p w14:paraId="627A906D">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偏振式3DVR便携式终端</w:t>
            </w:r>
          </w:p>
        </w:tc>
        <w:tc>
          <w:tcPr>
            <w:tcW w:w="3494" w:type="dxa"/>
            <w:shd w:val="clear" w:color="auto" w:fill="auto"/>
            <w:noWrap w:val="0"/>
            <w:vAlign w:val="center"/>
          </w:tcPr>
          <w:p w14:paraId="55370CAB">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工业</w:t>
            </w:r>
          </w:p>
        </w:tc>
      </w:tr>
      <w:tr w14:paraId="43D43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1538EE17">
            <w:pPr>
              <w:keepNext w:val="0"/>
              <w:keepLines w:val="0"/>
              <w:widowControl/>
              <w:suppressLineNumbers w:val="0"/>
              <w:jc w:val="center"/>
              <w:rPr>
                <w:rFonts w:hint="default"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11</w:t>
            </w:r>
          </w:p>
        </w:tc>
        <w:tc>
          <w:tcPr>
            <w:tcW w:w="4439" w:type="dxa"/>
            <w:shd w:val="clear" w:color="auto" w:fill="auto"/>
            <w:noWrap w:val="0"/>
            <w:vAlign w:val="center"/>
          </w:tcPr>
          <w:p w14:paraId="7D5C4191">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观察眼镜</w:t>
            </w:r>
          </w:p>
        </w:tc>
        <w:tc>
          <w:tcPr>
            <w:tcW w:w="3494" w:type="dxa"/>
            <w:shd w:val="clear" w:color="auto" w:fill="auto"/>
            <w:noWrap w:val="0"/>
            <w:vAlign w:val="center"/>
          </w:tcPr>
          <w:p w14:paraId="307816E7">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工业</w:t>
            </w:r>
          </w:p>
        </w:tc>
      </w:tr>
      <w:tr w14:paraId="66990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4A563619">
            <w:pPr>
              <w:keepNext w:val="0"/>
              <w:keepLines w:val="0"/>
              <w:widowControl/>
              <w:suppressLineNumbers w:val="0"/>
              <w:jc w:val="center"/>
              <w:rPr>
                <w:rFonts w:hint="default"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12</w:t>
            </w:r>
          </w:p>
        </w:tc>
        <w:tc>
          <w:tcPr>
            <w:tcW w:w="4439" w:type="dxa"/>
            <w:shd w:val="clear" w:color="auto" w:fill="auto"/>
            <w:noWrap w:val="0"/>
            <w:vAlign w:val="center"/>
          </w:tcPr>
          <w:p w14:paraId="750996EA">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VR资源制作软件</w:t>
            </w:r>
          </w:p>
        </w:tc>
        <w:tc>
          <w:tcPr>
            <w:tcW w:w="3494" w:type="dxa"/>
            <w:shd w:val="clear" w:color="auto" w:fill="auto"/>
            <w:noWrap w:val="0"/>
            <w:vAlign w:val="center"/>
          </w:tcPr>
          <w:p w14:paraId="76E2E569">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软件和信息技术服务业</w:t>
            </w:r>
          </w:p>
        </w:tc>
      </w:tr>
      <w:tr w14:paraId="3F613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2D537A0E">
            <w:pPr>
              <w:keepNext w:val="0"/>
              <w:keepLines w:val="0"/>
              <w:widowControl/>
              <w:suppressLineNumbers w:val="0"/>
              <w:jc w:val="center"/>
              <w:rPr>
                <w:rFonts w:hint="default"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13</w:t>
            </w:r>
          </w:p>
        </w:tc>
        <w:tc>
          <w:tcPr>
            <w:tcW w:w="4439" w:type="dxa"/>
            <w:shd w:val="clear" w:color="auto" w:fill="auto"/>
            <w:noWrap w:val="0"/>
            <w:vAlign w:val="center"/>
          </w:tcPr>
          <w:p w14:paraId="5E391DF8">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3D 智慧黑板</w:t>
            </w:r>
          </w:p>
        </w:tc>
        <w:tc>
          <w:tcPr>
            <w:tcW w:w="3494" w:type="dxa"/>
            <w:shd w:val="clear" w:color="auto" w:fill="auto"/>
            <w:noWrap w:val="0"/>
            <w:vAlign w:val="center"/>
          </w:tcPr>
          <w:p w14:paraId="6EA2F6AD">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工业</w:t>
            </w:r>
          </w:p>
        </w:tc>
      </w:tr>
      <w:tr w14:paraId="2CB2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0BAB454E">
            <w:pPr>
              <w:keepNext w:val="0"/>
              <w:keepLines w:val="0"/>
              <w:widowControl/>
              <w:suppressLineNumbers w:val="0"/>
              <w:jc w:val="center"/>
              <w:rPr>
                <w:rFonts w:hint="default"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14</w:t>
            </w:r>
          </w:p>
        </w:tc>
        <w:tc>
          <w:tcPr>
            <w:tcW w:w="4439" w:type="dxa"/>
            <w:shd w:val="clear" w:color="auto" w:fill="auto"/>
            <w:noWrap w:val="0"/>
            <w:vAlign w:val="center"/>
          </w:tcPr>
          <w:p w14:paraId="0CEF3EA5">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八边形操作台</w:t>
            </w:r>
          </w:p>
        </w:tc>
        <w:tc>
          <w:tcPr>
            <w:tcW w:w="3494" w:type="dxa"/>
            <w:shd w:val="clear" w:color="auto" w:fill="auto"/>
            <w:noWrap w:val="0"/>
            <w:vAlign w:val="center"/>
          </w:tcPr>
          <w:p w14:paraId="72C3B54B">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工业</w:t>
            </w:r>
          </w:p>
        </w:tc>
      </w:tr>
      <w:tr w14:paraId="344A3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35E4674F">
            <w:pPr>
              <w:keepNext w:val="0"/>
              <w:keepLines w:val="0"/>
              <w:widowControl/>
              <w:suppressLineNumbers w:val="0"/>
              <w:jc w:val="center"/>
              <w:rPr>
                <w:rFonts w:hint="default"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15</w:t>
            </w:r>
          </w:p>
        </w:tc>
        <w:tc>
          <w:tcPr>
            <w:tcW w:w="4439" w:type="dxa"/>
            <w:shd w:val="clear" w:color="auto" w:fill="auto"/>
            <w:noWrap w:val="0"/>
            <w:vAlign w:val="center"/>
          </w:tcPr>
          <w:p w14:paraId="594AE674">
            <w:pPr>
              <w:widowControl/>
              <w:jc w:val="center"/>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rPr>
              <w:t>全钢讲台</w:t>
            </w:r>
          </w:p>
        </w:tc>
        <w:tc>
          <w:tcPr>
            <w:tcW w:w="3494" w:type="dxa"/>
            <w:shd w:val="clear" w:color="auto" w:fill="auto"/>
            <w:noWrap w:val="0"/>
            <w:vAlign w:val="center"/>
          </w:tcPr>
          <w:p w14:paraId="3BF32EC8">
            <w:pPr>
              <w:keepNext w:val="0"/>
              <w:keepLines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工业</w:t>
            </w:r>
          </w:p>
        </w:tc>
      </w:tr>
      <w:tr w14:paraId="5D912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13638A19">
            <w:pPr>
              <w:keepNext w:val="0"/>
              <w:keepLines w:val="0"/>
              <w:widowControl/>
              <w:suppressLineNumbers w:val="0"/>
              <w:jc w:val="center"/>
              <w:rPr>
                <w:rFonts w:hint="default"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bidi="ar"/>
              </w:rPr>
              <w:t>16</w:t>
            </w:r>
          </w:p>
        </w:tc>
        <w:tc>
          <w:tcPr>
            <w:tcW w:w="4439" w:type="dxa"/>
            <w:shd w:val="clear" w:color="auto" w:fill="auto"/>
            <w:noWrap w:val="0"/>
            <w:vAlign w:val="center"/>
          </w:tcPr>
          <w:p w14:paraId="1F3FFBA4">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学生凳</w:t>
            </w:r>
          </w:p>
        </w:tc>
        <w:tc>
          <w:tcPr>
            <w:tcW w:w="3494" w:type="dxa"/>
            <w:shd w:val="clear" w:color="auto" w:fill="auto"/>
            <w:noWrap w:val="0"/>
            <w:vAlign w:val="center"/>
          </w:tcPr>
          <w:p w14:paraId="600A5B1D">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工业</w:t>
            </w:r>
          </w:p>
        </w:tc>
      </w:tr>
      <w:tr w14:paraId="7492F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31855E00">
            <w:pPr>
              <w:widowControl/>
              <w:jc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17</w:t>
            </w:r>
          </w:p>
        </w:tc>
        <w:tc>
          <w:tcPr>
            <w:tcW w:w="4439" w:type="dxa"/>
            <w:shd w:val="clear" w:color="auto" w:fill="auto"/>
            <w:noWrap w:val="0"/>
            <w:vAlign w:val="center"/>
          </w:tcPr>
          <w:p w14:paraId="5E417077">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储物柜</w:t>
            </w:r>
          </w:p>
        </w:tc>
        <w:tc>
          <w:tcPr>
            <w:tcW w:w="3494" w:type="dxa"/>
            <w:shd w:val="clear" w:color="auto" w:fill="auto"/>
            <w:noWrap w:val="0"/>
            <w:vAlign w:val="center"/>
          </w:tcPr>
          <w:p w14:paraId="043BECC4">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工业</w:t>
            </w:r>
          </w:p>
        </w:tc>
      </w:tr>
      <w:tr w14:paraId="2BE17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1DAB15CD">
            <w:pPr>
              <w:widowControl/>
              <w:jc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18</w:t>
            </w:r>
          </w:p>
        </w:tc>
        <w:tc>
          <w:tcPr>
            <w:tcW w:w="4439" w:type="dxa"/>
            <w:shd w:val="clear" w:color="auto" w:fill="auto"/>
            <w:noWrap w:val="0"/>
            <w:vAlign w:val="center"/>
          </w:tcPr>
          <w:p w14:paraId="7AA220E3">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教室文化环境布置</w:t>
            </w:r>
          </w:p>
        </w:tc>
        <w:tc>
          <w:tcPr>
            <w:tcW w:w="3494" w:type="dxa"/>
            <w:shd w:val="clear" w:color="auto" w:fill="auto"/>
            <w:noWrap w:val="0"/>
            <w:vAlign w:val="center"/>
          </w:tcPr>
          <w:p w14:paraId="1B421D82">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工业</w:t>
            </w:r>
          </w:p>
        </w:tc>
      </w:tr>
      <w:tr w14:paraId="2CFE3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blCellSpacing w:w="0" w:type="dxa"/>
          <w:jc w:val="center"/>
        </w:trPr>
        <w:tc>
          <w:tcPr>
            <w:tcW w:w="866" w:type="dxa"/>
            <w:shd w:val="clear" w:color="auto" w:fill="auto"/>
            <w:noWrap w:val="0"/>
            <w:vAlign w:val="center"/>
          </w:tcPr>
          <w:p w14:paraId="7814F111">
            <w:pPr>
              <w:widowControl/>
              <w:jc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19</w:t>
            </w:r>
          </w:p>
        </w:tc>
        <w:tc>
          <w:tcPr>
            <w:tcW w:w="4439" w:type="dxa"/>
            <w:shd w:val="clear" w:color="auto" w:fill="auto"/>
            <w:noWrap w:val="0"/>
            <w:vAlign w:val="center"/>
          </w:tcPr>
          <w:p w14:paraId="5ED7523F">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铝方通造型</w:t>
            </w:r>
          </w:p>
        </w:tc>
        <w:tc>
          <w:tcPr>
            <w:tcW w:w="3494" w:type="dxa"/>
            <w:shd w:val="clear" w:color="auto" w:fill="auto"/>
            <w:noWrap w:val="0"/>
            <w:vAlign w:val="center"/>
          </w:tcPr>
          <w:p w14:paraId="3D63284A">
            <w:pPr>
              <w:widowControl/>
              <w:jc w:val="center"/>
              <w:rPr>
                <w:rFonts w:hint="default"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工业</w:t>
            </w:r>
          </w:p>
        </w:tc>
      </w:tr>
      <w:tr w14:paraId="0D697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blCellSpacing w:w="0" w:type="dxa"/>
          <w:jc w:val="center"/>
        </w:trPr>
        <w:tc>
          <w:tcPr>
            <w:tcW w:w="866" w:type="dxa"/>
            <w:shd w:val="clear" w:color="auto" w:fill="auto"/>
            <w:noWrap w:val="0"/>
            <w:vAlign w:val="center"/>
          </w:tcPr>
          <w:p w14:paraId="2264158E">
            <w:pPr>
              <w:widowControl/>
              <w:jc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20</w:t>
            </w:r>
          </w:p>
        </w:tc>
        <w:tc>
          <w:tcPr>
            <w:tcW w:w="4439" w:type="dxa"/>
            <w:shd w:val="clear" w:color="auto" w:fill="auto"/>
            <w:noWrap w:val="0"/>
            <w:vAlign w:val="center"/>
          </w:tcPr>
          <w:p w14:paraId="2A6CC774">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室内地板</w:t>
            </w:r>
          </w:p>
        </w:tc>
        <w:tc>
          <w:tcPr>
            <w:tcW w:w="3494" w:type="dxa"/>
            <w:shd w:val="clear" w:color="auto" w:fill="auto"/>
            <w:noWrap w:val="0"/>
            <w:vAlign w:val="center"/>
          </w:tcPr>
          <w:p w14:paraId="0875E69C">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工业</w:t>
            </w:r>
          </w:p>
        </w:tc>
      </w:tr>
    </w:tbl>
    <w:p w14:paraId="4EDCE880">
      <w:pPr>
        <w:widowControl/>
        <w:jc w:val="left"/>
        <w:rPr>
          <w:rFonts w:hint="eastAsia" w:ascii="黑体" w:hAnsi="宋体" w:eastAsia="黑体" w:cs="黑体"/>
          <w:color w:val="auto"/>
          <w:sz w:val="44"/>
          <w:szCs w:val="44"/>
          <w:highlight w:val="none"/>
        </w:rPr>
      </w:pPr>
      <w:bookmarkStart w:id="174" w:name="_Toc120614281"/>
      <w:r>
        <w:rPr>
          <w:rFonts w:hint="eastAsia" w:ascii="宋体" w:hAnsi="宋体" w:eastAsia="宋体" w:cs="宋体"/>
          <w:i w:val="0"/>
          <w:iCs w:val="0"/>
          <w:color w:val="auto"/>
          <w:sz w:val="18"/>
          <w:szCs w:val="18"/>
          <w:highlight w:val="none"/>
          <w:u w:val="none"/>
          <w:lang w:val="en-US" w:eastAsia="zh-CN"/>
        </w:rPr>
        <w:br w:type="page" w:clear="all"/>
      </w:r>
    </w:p>
    <w:p w14:paraId="2A3A8632">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6CB2E0DC">
      <w:pPr>
        <w:pStyle w:val="33"/>
        <w:spacing w:beforeAutospacing="0" w:afterAutospacing="0"/>
        <w:jc w:val="both"/>
        <w:rPr>
          <w:color w:val="auto"/>
          <w:highlight w:val="none"/>
        </w:rPr>
      </w:pPr>
      <w:r>
        <w:rPr>
          <w:color w:val="auto"/>
          <w:highlight w:val="none"/>
        </w:rPr>
        <w:t> </w:t>
      </w:r>
    </w:p>
    <w:p w14:paraId="1D15513E">
      <w:pPr>
        <w:keepNext w:val="0"/>
        <w:keepLines w:val="0"/>
        <w:pageBreakBefore w:val="0"/>
        <w:widowControl w:val="0"/>
        <w:spacing w:line="360" w:lineRule="auto"/>
        <w:ind w:lef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3B84AB0A">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并列</w:t>
      </w:r>
      <w:r>
        <w:rPr>
          <w:rFonts w:hint="eastAsia" w:ascii="宋体" w:hAnsi="宋体" w:eastAsia="宋体" w:cs="宋体"/>
          <w:color w:val="auto"/>
          <w:sz w:val="24"/>
          <w:szCs w:val="24"/>
          <w:highlight w:val="none"/>
        </w:rPr>
        <w:t>。投标文件满足招标文件全部实质性要求，且按照评审因素的量化指标评审得分最高的投标人为排名第一的中标候选人，本项目选取1名中标候选人。</w:t>
      </w:r>
    </w:p>
    <w:p w14:paraId="593F26F0">
      <w:pPr>
        <w:pStyle w:val="33"/>
        <w:keepNext w:val="0"/>
        <w:keepLines w:val="0"/>
        <w:pageBreakBefore w:val="0"/>
        <w:widowControl w:val="0"/>
        <w:spacing w:beforeAutospacing="0" w:afterAutospacing="0" w:line="360" w:lineRule="auto"/>
        <w:ind w:left="0" w:firstLine="482"/>
        <w:rPr>
          <w:rFonts w:hint="eastAsia" w:ascii="宋体" w:hAnsi="宋体" w:eastAsia="宋体" w:cs="宋体"/>
          <w:color w:val="auto"/>
          <w:sz w:val="24"/>
          <w:szCs w:val="24"/>
          <w:highlight w:val="none"/>
        </w:rPr>
      </w:pPr>
      <w:r>
        <w:rPr>
          <w:rFonts w:hint="eastAsia" w:ascii="宋体" w:hAnsi="宋体" w:cs="宋体"/>
          <w:b/>
          <w:bCs w:val="0"/>
          <w:color w:val="auto"/>
          <w:highlight w:val="none"/>
        </w:rPr>
        <w:t>本项目专门面向中小企业采购，不再对小微企业服务给予价格扣除</w:t>
      </w:r>
      <w:r>
        <w:rPr>
          <w:rFonts w:hint="eastAsia" w:ascii="宋体" w:hAnsi="宋体" w:cs="宋体"/>
          <w:b/>
          <w:bCs w:val="0"/>
          <w:color w:val="auto"/>
          <w:highlight w:val="none"/>
          <w:lang w:eastAsia="zh-CN"/>
        </w:rPr>
        <w:t>。</w:t>
      </w:r>
    </w:p>
    <w:p w14:paraId="0B0073E7">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4F507F07">
      <w:pPr>
        <w:pStyle w:val="33"/>
        <w:keepNext w:val="0"/>
        <w:keepLines w:val="0"/>
        <w:pageBreakBefore w:val="0"/>
        <w:widowControl w:val="0"/>
        <w:spacing w:beforeAutospacing="0" w:afterAutospacing="0" w:line="360" w:lineRule="auto"/>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评标方法与评标标准</w:t>
      </w:r>
    </w:p>
    <w:p w14:paraId="69CF8B50">
      <w:pPr>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本次招标采用使用综合评分法，综合评分法，是指各标段投标文件满足招标文件全部实质性要求，且按照评审因素的量化指标评审得分最高的投标人为该标段中标候选人的评标方法。</w:t>
      </w:r>
    </w:p>
    <w:p w14:paraId="00A08B04">
      <w:pPr>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具体评审细则如下：</w:t>
      </w:r>
    </w:p>
    <w:tbl>
      <w:tblPr>
        <w:tblStyle w:val="35"/>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118"/>
        <w:gridCol w:w="1352"/>
        <w:gridCol w:w="818"/>
        <w:gridCol w:w="5697"/>
      </w:tblGrid>
      <w:tr w14:paraId="62801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blHeader/>
          <w:jc w:val="center"/>
        </w:trPr>
        <w:tc>
          <w:tcPr>
            <w:tcW w:w="575" w:type="dxa"/>
            <w:tcBorders>
              <w:top w:val="single" w:color="auto" w:sz="4" w:space="0"/>
              <w:left w:val="single" w:color="auto" w:sz="4" w:space="0"/>
              <w:bottom w:val="single" w:color="auto" w:sz="4" w:space="0"/>
              <w:right w:val="single" w:color="auto" w:sz="4" w:space="0"/>
            </w:tcBorders>
            <w:noWrap w:val="0"/>
            <w:vAlign w:val="center"/>
          </w:tcPr>
          <w:p w14:paraId="6107B93C">
            <w:pPr>
              <w:keepNext w:val="0"/>
              <w:keepLines w:val="0"/>
              <w:pageBreakBefore w:val="0"/>
              <w:spacing w:line="24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1D3454BD">
            <w:pPr>
              <w:keepNext w:val="0"/>
              <w:keepLines w:val="0"/>
              <w:pageBreakBefore w:val="0"/>
              <w:spacing w:line="24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分部内容</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42E366C9">
            <w:pPr>
              <w:keepNext w:val="0"/>
              <w:keepLines w:val="0"/>
              <w:pageBreakBefore w:val="0"/>
              <w:spacing w:line="24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分项内容</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6FDFD83F">
            <w:pPr>
              <w:keepNext w:val="0"/>
              <w:keepLines w:val="0"/>
              <w:pageBreakBefore w:val="0"/>
              <w:spacing w:line="24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分值</w:t>
            </w:r>
          </w:p>
        </w:tc>
        <w:tc>
          <w:tcPr>
            <w:tcW w:w="5697" w:type="dxa"/>
            <w:tcBorders>
              <w:top w:val="single" w:color="auto" w:sz="4" w:space="0"/>
              <w:left w:val="single" w:color="auto" w:sz="4" w:space="0"/>
              <w:bottom w:val="single" w:color="auto" w:sz="4" w:space="0"/>
              <w:right w:val="single" w:color="auto" w:sz="4" w:space="0"/>
            </w:tcBorders>
            <w:noWrap w:val="0"/>
            <w:vAlign w:val="center"/>
          </w:tcPr>
          <w:p w14:paraId="0A2EA8A7">
            <w:pPr>
              <w:pStyle w:val="12"/>
              <w:keepNext w:val="0"/>
              <w:keepLines w:val="0"/>
              <w:pageBreakBefore w:val="0"/>
              <w:spacing w:line="24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打分要求</w:t>
            </w:r>
          </w:p>
        </w:tc>
      </w:tr>
      <w:tr w14:paraId="4F3FA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575" w:type="dxa"/>
            <w:tcBorders>
              <w:top w:val="single" w:color="auto" w:sz="4" w:space="0"/>
              <w:left w:val="single" w:color="auto" w:sz="4" w:space="0"/>
              <w:right w:val="single" w:color="auto" w:sz="4" w:space="0"/>
            </w:tcBorders>
            <w:noWrap w:val="0"/>
            <w:vAlign w:val="center"/>
          </w:tcPr>
          <w:p w14:paraId="1C38919B">
            <w:pPr>
              <w:keepNext w:val="0"/>
              <w:keepLines w:val="0"/>
              <w:pageBreakBefore w:val="0"/>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w:t>
            </w:r>
          </w:p>
        </w:tc>
        <w:tc>
          <w:tcPr>
            <w:tcW w:w="1118" w:type="dxa"/>
            <w:tcBorders>
              <w:top w:val="single" w:color="auto" w:sz="4" w:space="0"/>
              <w:left w:val="single" w:color="auto" w:sz="4" w:space="0"/>
              <w:right w:val="single" w:color="auto" w:sz="4" w:space="0"/>
            </w:tcBorders>
            <w:noWrap w:val="0"/>
            <w:vAlign w:val="center"/>
          </w:tcPr>
          <w:p w14:paraId="09606EEB">
            <w:pPr>
              <w:keepNext w:val="0"/>
              <w:keepLines w:val="0"/>
              <w:pageBreakBefore w:val="0"/>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价格部分</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30CA731E">
            <w:pPr>
              <w:keepNext w:val="0"/>
              <w:keepLines w:val="0"/>
              <w:pageBreakBefore w:val="0"/>
              <w:spacing w:line="240" w:lineRule="exact"/>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投标报价</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50F77330">
            <w:pPr>
              <w:keepNext w:val="0"/>
              <w:keepLines w:val="0"/>
              <w:pageBreakBefore w:val="0"/>
              <w:spacing w:line="240" w:lineRule="exact"/>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30</w:t>
            </w:r>
          </w:p>
        </w:tc>
        <w:tc>
          <w:tcPr>
            <w:tcW w:w="5697" w:type="dxa"/>
            <w:tcBorders>
              <w:top w:val="single" w:color="auto" w:sz="4" w:space="0"/>
              <w:left w:val="single" w:color="auto" w:sz="4" w:space="0"/>
              <w:bottom w:val="single" w:color="auto" w:sz="4" w:space="0"/>
              <w:right w:val="single" w:color="auto" w:sz="4" w:space="0"/>
            </w:tcBorders>
            <w:noWrap w:val="0"/>
            <w:vAlign w:val="center"/>
          </w:tcPr>
          <w:p w14:paraId="38F4C672">
            <w:pPr>
              <w:pStyle w:val="12"/>
              <w:keepNext w:val="0"/>
              <w:keepLines w:val="0"/>
              <w:pageBreakBefore w:val="0"/>
              <w:spacing w:line="240" w:lineRule="exact"/>
              <w:rPr>
                <w:rFonts w:hint="eastAsia" w:ascii="仿宋" w:hAnsi="仿宋" w:eastAsia="仿宋" w:cs="仿宋"/>
                <w:color w:val="auto"/>
                <w:sz w:val="21"/>
                <w:szCs w:val="21"/>
                <w:highlight w:val="none"/>
              </w:rPr>
            </w:pPr>
            <w:bookmarkStart w:id="175" w:name="OLE_LINK20"/>
            <w:r>
              <w:rPr>
                <w:rFonts w:hint="eastAsia" w:ascii="仿宋" w:hAnsi="仿宋" w:eastAsia="仿宋" w:cs="仿宋"/>
                <w:color w:val="auto"/>
                <w:sz w:val="21"/>
                <w:szCs w:val="21"/>
                <w:highlight w:val="none"/>
              </w:rPr>
              <w:t>满足招标文件要求且投标价格最低的投标报价为基准价，其价格分为满分。报价得分=(评标基准价/投标报价)×</w:t>
            </w: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w:t>
            </w:r>
            <w:bookmarkEnd w:id="175"/>
          </w:p>
        </w:tc>
      </w:tr>
      <w:tr w14:paraId="711A0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5" w:type="dxa"/>
            <w:vMerge w:val="restart"/>
            <w:tcBorders>
              <w:top w:val="single" w:color="auto" w:sz="4" w:space="0"/>
              <w:left w:val="single" w:color="auto" w:sz="4" w:space="0"/>
              <w:right w:val="single" w:color="auto" w:sz="4" w:space="0"/>
            </w:tcBorders>
            <w:noWrap w:val="0"/>
            <w:vAlign w:val="center"/>
          </w:tcPr>
          <w:p w14:paraId="590869B5">
            <w:pPr>
              <w:keepNext w:val="0"/>
              <w:keepLines w:val="0"/>
              <w:pageBreakBefore w:val="0"/>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w:t>
            </w:r>
          </w:p>
        </w:tc>
        <w:tc>
          <w:tcPr>
            <w:tcW w:w="1118" w:type="dxa"/>
            <w:vMerge w:val="restart"/>
            <w:tcBorders>
              <w:top w:val="single" w:color="auto" w:sz="4" w:space="0"/>
              <w:left w:val="single" w:color="auto" w:sz="4" w:space="0"/>
              <w:right w:val="single" w:color="auto" w:sz="4" w:space="0"/>
            </w:tcBorders>
            <w:noWrap w:val="0"/>
            <w:vAlign w:val="center"/>
          </w:tcPr>
          <w:p w14:paraId="58275C8F">
            <w:pPr>
              <w:keepNext w:val="0"/>
              <w:keepLines w:val="0"/>
              <w:pageBreakBefore w:val="0"/>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技术部分</w:t>
            </w:r>
          </w:p>
        </w:tc>
        <w:tc>
          <w:tcPr>
            <w:tcW w:w="1352" w:type="dxa"/>
            <w:tcBorders>
              <w:top w:val="single" w:color="auto" w:sz="4" w:space="0"/>
              <w:left w:val="single" w:color="auto" w:sz="4" w:space="0"/>
              <w:right w:val="single" w:color="auto" w:sz="4" w:space="0"/>
            </w:tcBorders>
            <w:noWrap w:val="0"/>
            <w:vAlign w:val="center"/>
          </w:tcPr>
          <w:p w14:paraId="57A91E76">
            <w:pPr>
              <w:keepNext w:val="0"/>
              <w:keepLines w:val="0"/>
              <w:pageBreakBefore w:val="0"/>
              <w:spacing w:line="240" w:lineRule="exact"/>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技术参数响应情况</w:t>
            </w:r>
          </w:p>
        </w:tc>
        <w:tc>
          <w:tcPr>
            <w:tcW w:w="818" w:type="dxa"/>
            <w:tcBorders>
              <w:top w:val="single" w:color="auto" w:sz="4" w:space="0"/>
              <w:left w:val="single" w:color="auto" w:sz="4" w:space="0"/>
              <w:right w:val="single" w:color="auto" w:sz="4" w:space="0"/>
            </w:tcBorders>
            <w:noWrap w:val="0"/>
            <w:vAlign w:val="center"/>
          </w:tcPr>
          <w:p w14:paraId="2482AF54">
            <w:pPr>
              <w:keepNext w:val="0"/>
              <w:keepLines w:val="0"/>
              <w:pageBreakBefore w:val="0"/>
              <w:spacing w:line="240" w:lineRule="exact"/>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22</w:t>
            </w:r>
          </w:p>
        </w:tc>
        <w:tc>
          <w:tcPr>
            <w:tcW w:w="5697" w:type="dxa"/>
            <w:tcBorders>
              <w:top w:val="single" w:color="auto" w:sz="4" w:space="0"/>
              <w:left w:val="single" w:color="auto" w:sz="4" w:space="0"/>
              <w:right w:val="single" w:color="auto" w:sz="4" w:space="0"/>
            </w:tcBorders>
            <w:noWrap w:val="0"/>
            <w:vAlign w:val="center"/>
          </w:tcPr>
          <w:p w14:paraId="0777D2F5">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对照招标文件中的要求进行评审（基础分22分），完全满足招标文件要求的不扣分；其中：标“★”指标为重点响应项，每发现一处负偏离扣1分，扣完为止。</w:t>
            </w:r>
          </w:p>
          <w:p w14:paraId="5C69CFBC">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其他为响应项，每发现一处负偏离扣0.5分，扣完为止。</w:t>
            </w:r>
          </w:p>
        </w:tc>
      </w:tr>
      <w:tr w14:paraId="1FB25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5" w:type="dxa"/>
            <w:vMerge w:val="continue"/>
            <w:tcBorders>
              <w:left w:val="single" w:color="auto" w:sz="4" w:space="0"/>
              <w:right w:val="single" w:color="auto" w:sz="4" w:space="0"/>
            </w:tcBorders>
            <w:noWrap w:val="0"/>
            <w:vAlign w:val="center"/>
          </w:tcPr>
          <w:p w14:paraId="716036C6">
            <w:pPr>
              <w:keepNext w:val="0"/>
              <w:keepLines w:val="0"/>
              <w:pageBreakBefore w:val="0"/>
              <w:spacing w:line="240" w:lineRule="exact"/>
              <w:jc w:val="center"/>
              <w:rPr>
                <w:rFonts w:hint="eastAsia" w:ascii="仿宋" w:hAnsi="仿宋" w:eastAsia="仿宋" w:cs="仿宋"/>
                <w:color w:val="auto"/>
                <w:sz w:val="21"/>
                <w:szCs w:val="21"/>
                <w:highlight w:val="none"/>
              </w:rPr>
            </w:pPr>
          </w:p>
        </w:tc>
        <w:tc>
          <w:tcPr>
            <w:tcW w:w="1118" w:type="dxa"/>
            <w:vMerge w:val="continue"/>
            <w:tcBorders>
              <w:left w:val="single" w:color="auto" w:sz="4" w:space="0"/>
              <w:right w:val="single" w:color="auto" w:sz="4" w:space="0"/>
            </w:tcBorders>
            <w:noWrap w:val="0"/>
            <w:vAlign w:val="center"/>
          </w:tcPr>
          <w:p w14:paraId="53BA7B36">
            <w:pPr>
              <w:keepNext w:val="0"/>
              <w:keepLines w:val="0"/>
              <w:pageBreakBefore w:val="0"/>
              <w:spacing w:line="240" w:lineRule="exact"/>
              <w:jc w:val="center"/>
              <w:rPr>
                <w:rFonts w:hint="eastAsia" w:ascii="仿宋" w:hAnsi="仿宋" w:eastAsia="仿宋" w:cs="仿宋"/>
                <w:color w:val="auto"/>
                <w:sz w:val="21"/>
                <w:szCs w:val="21"/>
                <w:highlight w:val="none"/>
              </w:rPr>
            </w:pPr>
          </w:p>
        </w:tc>
        <w:tc>
          <w:tcPr>
            <w:tcW w:w="1352" w:type="dxa"/>
            <w:tcBorders>
              <w:top w:val="single" w:color="auto" w:sz="4" w:space="0"/>
              <w:left w:val="single" w:color="auto" w:sz="4" w:space="0"/>
              <w:right w:val="single" w:color="auto" w:sz="4" w:space="0"/>
            </w:tcBorders>
            <w:noWrap w:val="0"/>
            <w:vAlign w:val="center"/>
          </w:tcPr>
          <w:p w14:paraId="1B0B1848">
            <w:pPr>
              <w:keepNext w:val="0"/>
              <w:keepLines w:val="0"/>
              <w:pageBreakBefore w:val="0"/>
              <w:widowControl w:val="0"/>
              <w:spacing w:line="24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作品数量</w:t>
            </w:r>
          </w:p>
        </w:tc>
        <w:tc>
          <w:tcPr>
            <w:tcW w:w="818" w:type="dxa"/>
            <w:tcBorders>
              <w:left w:val="single" w:color="auto" w:sz="4" w:space="0"/>
              <w:right w:val="single" w:color="auto" w:sz="4" w:space="0"/>
            </w:tcBorders>
            <w:noWrap w:val="0"/>
            <w:vAlign w:val="center"/>
          </w:tcPr>
          <w:p w14:paraId="7540DEAB">
            <w:pPr>
              <w:keepNext w:val="0"/>
              <w:keepLines w:val="0"/>
              <w:pageBreakBefore w:val="0"/>
              <w:widowControl w:val="0"/>
              <w:spacing w:line="24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25</w:t>
            </w:r>
          </w:p>
        </w:tc>
        <w:tc>
          <w:tcPr>
            <w:tcW w:w="5697" w:type="dxa"/>
            <w:tcBorders>
              <w:left w:val="single" w:color="auto" w:sz="4" w:space="0"/>
              <w:right w:val="single" w:color="auto" w:sz="4" w:space="0"/>
            </w:tcBorders>
            <w:noWrap w:val="0"/>
            <w:vAlign w:val="center"/>
          </w:tcPr>
          <w:p w14:paraId="0A094B4A">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潜在供应商需按带“◆”处的要求提供资源清单表格资料，上传至“苏采云”系统。</w:t>
            </w:r>
          </w:p>
          <w:p w14:paraId="1A60F16E">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1、融合学科全交互VR教学资源，每个VR资源以0.1分计，最多计10分；</w:t>
            </w:r>
          </w:p>
          <w:p w14:paraId="2D263745">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2、小学科学全交互VR教学资源，每个VR资源以0.1分计，最多计15分。</w:t>
            </w:r>
          </w:p>
        </w:tc>
      </w:tr>
      <w:tr w14:paraId="6416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575" w:type="dxa"/>
            <w:vMerge w:val="continue"/>
            <w:tcBorders>
              <w:left w:val="single" w:color="auto" w:sz="4" w:space="0"/>
              <w:right w:val="single" w:color="auto" w:sz="4" w:space="0"/>
            </w:tcBorders>
            <w:noWrap w:val="0"/>
            <w:vAlign w:val="center"/>
          </w:tcPr>
          <w:p w14:paraId="02D31DC2">
            <w:pPr>
              <w:keepNext w:val="0"/>
              <w:keepLines w:val="0"/>
              <w:pageBreakBefore w:val="0"/>
              <w:spacing w:line="240" w:lineRule="exact"/>
              <w:jc w:val="center"/>
              <w:rPr>
                <w:rFonts w:hint="eastAsia" w:ascii="仿宋" w:hAnsi="仿宋" w:eastAsia="仿宋" w:cs="仿宋"/>
                <w:color w:val="auto"/>
                <w:sz w:val="21"/>
                <w:szCs w:val="21"/>
                <w:highlight w:val="none"/>
              </w:rPr>
            </w:pPr>
          </w:p>
        </w:tc>
        <w:tc>
          <w:tcPr>
            <w:tcW w:w="1118" w:type="dxa"/>
            <w:vMerge w:val="continue"/>
            <w:tcBorders>
              <w:left w:val="single" w:color="auto" w:sz="4" w:space="0"/>
              <w:right w:val="single" w:color="auto" w:sz="4" w:space="0"/>
            </w:tcBorders>
            <w:noWrap w:val="0"/>
            <w:vAlign w:val="center"/>
          </w:tcPr>
          <w:p w14:paraId="08F2EC7A">
            <w:pPr>
              <w:keepNext w:val="0"/>
              <w:keepLines w:val="0"/>
              <w:pageBreakBefore w:val="0"/>
              <w:spacing w:line="240" w:lineRule="exact"/>
              <w:jc w:val="center"/>
              <w:rPr>
                <w:rFonts w:hint="eastAsia" w:ascii="仿宋" w:hAnsi="仿宋" w:eastAsia="仿宋" w:cs="仿宋"/>
                <w:color w:val="auto"/>
                <w:sz w:val="21"/>
                <w:szCs w:val="21"/>
                <w:highlight w:val="none"/>
              </w:rPr>
            </w:pPr>
          </w:p>
        </w:tc>
        <w:tc>
          <w:tcPr>
            <w:tcW w:w="1352" w:type="dxa"/>
            <w:tcBorders>
              <w:top w:val="single" w:color="auto" w:sz="4" w:space="0"/>
              <w:left w:val="single" w:color="auto" w:sz="4" w:space="0"/>
              <w:right w:val="single" w:color="auto" w:sz="4" w:space="0"/>
            </w:tcBorders>
            <w:shd w:val="clear" w:color="auto" w:fill="auto"/>
            <w:noWrap w:val="0"/>
            <w:vAlign w:val="center"/>
          </w:tcPr>
          <w:p w14:paraId="4B932916">
            <w:pPr>
              <w:keepNext w:val="0"/>
              <w:keepLines w:val="0"/>
              <w:pageBreakBefore w:val="0"/>
              <w:widowControl w:val="0"/>
              <w:spacing w:line="240" w:lineRule="auto"/>
              <w:jc w:val="center"/>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功能演示</w:t>
            </w:r>
          </w:p>
        </w:tc>
        <w:tc>
          <w:tcPr>
            <w:tcW w:w="818" w:type="dxa"/>
            <w:tcBorders>
              <w:top w:val="single" w:color="auto" w:sz="4" w:space="0"/>
              <w:left w:val="single" w:color="auto" w:sz="4" w:space="0"/>
              <w:right w:val="single" w:color="auto" w:sz="4" w:space="0"/>
            </w:tcBorders>
            <w:shd w:val="clear" w:color="auto" w:fill="auto"/>
            <w:noWrap w:val="0"/>
            <w:vAlign w:val="center"/>
          </w:tcPr>
          <w:p w14:paraId="7F7BF0B3">
            <w:pPr>
              <w:keepNext w:val="0"/>
              <w:keepLines w:val="0"/>
              <w:pageBreakBefore w:val="0"/>
              <w:widowControl w:val="0"/>
              <w:spacing w:line="240" w:lineRule="auto"/>
              <w:jc w:val="center"/>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10</w:t>
            </w:r>
          </w:p>
        </w:tc>
        <w:tc>
          <w:tcPr>
            <w:tcW w:w="5697" w:type="dxa"/>
            <w:tcBorders>
              <w:top w:val="single" w:color="auto" w:sz="4" w:space="0"/>
              <w:left w:val="single" w:color="auto" w:sz="4" w:space="0"/>
              <w:right w:val="single" w:color="auto" w:sz="4" w:space="0"/>
            </w:tcBorders>
            <w:shd w:val="clear" w:color="auto" w:fill="auto"/>
            <w:noWrap w:val="0"/>
            <w:vAlign w:val="center"/>
          </w:tcPr>
          <w:p w14:paraId="7A6891DB">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1、提供《空气有质量吗》一课的实验的操作录屏。实验须具备以下功能：（5分）</w:t>
            </w:r>
          </w:p>
          <w:p w14:paraId="4DE17AF0">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（1）展示空气相关知识点，包含组成部分和比例；（1分）</w:t>
            </w:r>
          </w:p>
          <w:p w14:paraId="73AC339B">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（2）支持进行实验操作，有对应的实验步骤提示；（1分）</w:t>
            </w:r>
          </w:p>
          <w:p w14:paraId="6C74683D">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（3）根据实验步骤完成实验，系统自动总结实验结果；（1分）</w:t>
            </w:r>
          </w:p>
          <w:p w14:paraId="405DFC39">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（4）可点击切换初始视角，切换至首次进入实验的视角；（1分）</w:t>
            </w:r>
          </w:p>
          <w:p w14:paraId="33E148C6">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（5）可点击重置场景，场景重置成首次进入实验室的场景。（1分）</w:t>
            </w:r>
          </w:p>
          <w:p w14:paraId="7CF0B2A6">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2、提供一段国防安全知识类VR资源的模型操作录屏，如火箭发射原理展示，须具备以下功能：（5分）</w:t>
            </w:r>
          </w:p>
          <w:p w14:paraId="3A9D5CAA">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（1）模拟模型的整体构造，展示模型全貌，点击模型部位，伴随语音和文字的介绍；（1分）</w:t>
            </w:r>
          </w:p>
          <w:p w14:paraId="1C8E76CA">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（2）展示模型的拆解操作步骤，伴随语音和文字的介绍，模拟模型组装过程，有提示功能；（1分）；</w:t>
            </w:r>
          </w:p>
          <w:p w14:paraId="1D7A5C22">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（3）模拟模型运行过程，操作正确和错误有对应提示，操作者可切换模型视角，有现场感；（1分）；</w:t>
            </w:r>
          </w:p>
          <w:p w14:paraId="62EA0C24">
            <w:pPr>
              <w:keepNext w:val="0"/>
              <w:keepLines w:val="0"/>
              <w:pageBreakBefore w:val="0"/>
              <w:widowControl w:val="0"/>
              <w:spacing w:line="240" w:lineRule="auto"/>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（4）可切换初始视角，切换至首次进入实验的视角（1分）；</w:t>
            </w:r>
          </w:p>
          <w:p w14:paraId="3D96DA4D">
            <w:pPr>
              <w:keepNext w:val="0"/>
              <w:keepLines w:val="0"/>
              <w:pageBreakBefore w:val="0"/>
              <w:widowControl w:val="0"/>
              <w:spacing w:line="240" w:lineRule="auto"/>
              <w:ind w:firstLine="420"/>
              <w:jc w:val="left"/>
              <w:rPr>
                <w:rFonts w:hint="eastAsia" w:ascii="仿宋" w:hAnsi="仿宋" w:eastAsia="仿宋" w:cs="仿宋"/>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（5）可点击重置场景，场景重置成首次进入实验室的场景（1分）。</w:t>
            </w:r>
          </w:p>
        </w:tc>
      </w:tr>
      <w:tr w14:paraId="46E6A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575" w:type="dxa"/>
            <w:vMerge w:val="continue"/>
            <w:tcBorders>
              <w:left w:val="single" w:color="auto" w:sz="4" w:space="0"/>
              <w:right w:val="single" w:color="auto" w:sz="4" w:space="0"/>
            </w:tcBorders>
            <w:noWrap w:val="0"/>
            <w:vAlign w:val="center"/>
          </w:tcPr>
          <w:p w14:paraId="73D49756">
            <w:pPr>
              <w:keepNext w:val="0"/>
              <w:keepLines w:val="0"/>
              <w:pageBreakBefore w:val="0"/>
              <w:spacing w:line="240" w:lineRule="exact"/>
              <w:jc w:val="center"/>
              <w:rPr>
                <w:rFonts w:hint="eastAsia" w:ascii="仿宋" w:hAnsi="仿宋" w:eastAsia="仿宋" w:cs="仿宋"/>
                <w:color w:val="auto"/>
                <w:sz w:val="21"/>
                <w:szCs w:val="21"/>
                <w:highlight w:val="none"/>
              </w:rPr>
            </w:pPr>
          </w:p>
        </w:tc>
        <w:tc>
          <w:tcPr>
            <w:tcW w:w="1118" w:type="dxa"/>
            <w:vMerge w:val="continue"/>
            <w:tcBorders>
              <w:left w:val="single" w:color="auto" w:sz="4" w:space="0"/>
              <w:right w:val="single" w:color="auto" w:sz="4" w:space="0"/>
            </w:tcBorders>
            <w:noWrap w:val="0"/>
            <w:vAlign w:val="center"/>
          </w:tcPr>
          <w:p w14:paraId="18A8C100">
            <w:pPr>
              <w:keepNext w:val="0"/>
              <w:keepLines w:val="0"/>
              <w:pageBreakBefore w:val="0"/>
              <w:spacing w:line="240" w:lineRule="exact"/>
              <w:jc w:val="center"/>
              <w:rPr>
                <w:rFonts w:hint="eastAsia" w:ascii="仿宋" w:hAnsi="仿宋" w:eastAsia="仿宋" w:cs="仿宋"/>
                <w:color w:val="auto"/>
                <w:sz w:val="21"/>
                <w:szCs w:val="21"/>
                <w:highlight w:val="none"/>
              </w:rPr>
            </w:pPr>
          </w:p>
        </w:tc>
        <w:tc>
          <w:tcPr>
            <w:tcW w:w="1352" w:type="dxa"/>
            <w:tcBorders>
              <w:top w:val="single" w:color="auto" w:sz="4" w:space="0"/>
              <w:left w:val="single" w:color="auto" w:sz="4" w:space="0"/>
              <w:right w:val="single" w:color="auto" w:sz="4" w:space="0"/>
            </w:tcBorders>
            <w:shd w:val="clear" w:color="auto" w:fill="auto"/>
            <w:noWrap w:val="0"/>
            <w:vAlign w:val="center"/>
          </w:tcPr>
          <w:p w14:paraId="2440DA01">
            <w:pPr>
              <w:keepNext w:val="0"/>
              <w:keepLines w:val="0"/>
              <w:pageBreakBefore w:val="0"/>
              <w:widowControl/>
              <w:spacing w:line="240" w:lineRule="exact"/>
              <w:jc w:val="center"/>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rPr>
              <w:t>专项设计方案</w:t>
            </w:r>
          </w:p>
        </w:tc>
        <w:tc>
          <w:tcPr>
            <w:tcW w:w="818" w:type="dxa"/>
            <w:tcBorders>
              <w:top w:val="single" w:color="auto" w:sz="4" w:space="0"/>
              <w:left w:val="single" w:color="auto" w:sz="4" w:space="0"/>
              <w:right w:val="single" w:color="auto" w:sz="4" w:space="0"/>
            </w:tcBorders>
            <w:shd w:val="clear" w:color="auto" w:fill="auto"/>
            <w:noWrap w:val="0"/>
            <w:vAlign w:val="center"/>
          </w:tcPr>
          <w:p w14:paraId="6F59A556">
            <w:pPr>
              <w:keepNext w:val="0"/>
              <w:keepLines w:val="0"/>
              <w:pageBreakBefore w:val="0"/>
              <w:spacing w:line="240" w:lineRule="exact"/>
              <w:jc w:val="center"/>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3</w:t>
            </w:r>
          </w:p>
        </w:tc>
        <w:tc>
          <w:tcPr>
            <w:tcW w:w="5697" w:type="dxa"/>
            <w:tcBorders>
              <w:top w:val="single" w:color="auto" w:sz="4" w:space="0"/>
              <w:left w:val="single" w:color="auto" w:sz="4" w:space="0"/>
              <w:right w:val="single" w:color="auto" w:sz="4" w:space="0"/>
            </w:tcBorders>
            <w:shd w:val="clear" w:color="auto" w:fill="auto"/>
            <w:noWrap w:val="0"/>
            <w:vAlign w:val="center"/>
          </w:tcPr>
          <w:p w14:paraId="4F69CF64">
            <w:pPr>
              <w:keepNext w:val="0"/>
              <w:keepLines w:val="0"/>
              <w:pageBreakBefore w:val="0"/>
              <w:widowControl/>
              <w:numPr>
                <w:ilvl w:val="0"/>
                <w:numId w:val="0"/>
              </w:numPr>
              <w:spacing w:line="24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评委根据投标人提供的深化设计方案(包括采购需求中所有空间)，包括但不限于:(1)各空间平面布置图及说明方案(每个室提供不少于2张图纸):(2)各空间</w:t>
            </w:r>
            <w:r>
              <w:rPr>
                <w:rFonts w:hint="eastAsia" w:ascii="仿宋" w:hAnsi="仿宋" w:eastAsia="仿宋" w:cs="仿宋"/>
                <w:color w:val="auto"/>
                <w:sz w:val="21"/>
                <w:szCs w:val="21"/>
                <w:highlight w:val="none"/>
                <w:lang w:val="en-US" w:eastAsia="zh-CN"/>
              </w:rPr>
              <w:t>环境布置平面</w:t>
            </w:r>
            <w:r>
              <w:rPr>
                <w:rFonts w:hint="eastAsia" w:ascii="仿宋" w:hAnsi="仿宋" w:eastAsia="仿宋" w:cs="仿宋"/>
                <w:color w:val="auto"/>
                <w:sz w:val="21"/>
                <w:szCs w:val="21"/>
                <w:highlight w:val="none"/>
              </w:rPr>
              <w:t>效果图及</w:t>
            </w:r>
            <w:r>
              <w:rPr>
                <w:rFonts w:hint="eastAsia" w:ascii="仿宋" w:hAnsi="仿宋" w:eastAsia="仿宋" w:cs="仿宋"/>
                <w:color w:val="auto"/>
                <w:sz w:val="21"/>
                <w:szCs w:val="21"/>
                <w:highlight w:val="none"/>
                <w:lang w:val="en-US" w:eastAsia="zh-CN"/>
              </w:rPr>
              <w:t>安装</w:t>
            </w:r>
            <w:r>
              <w:rPr>
                <w:rFonts w:hint="eastAsia" w:ascii="仿宋" w:hAnsi="仿宋" w:eastAsia="仿宋" w:cs="仿宋"/>
                <w:color w:val="auto"/>
                <w:sz w:val="21"/>
                <w:szCs w:val="21"/>
                <w:highlight w:val="none"/>
              </w:rPr>
              <w:t>说明(每个室提供不少于4张图纸)</w:t>
            </w:r>
            <w:r>
              <w:rPr>
                <w:rFonts w:hint="eastAsia" w:ascii="仿宋" w:hAnsi="仿宋" w:eastAsia="仿宋" w:cs="仿宋"/>
                <w:color w:val="auto"/>
                <w:sz w:val="21"/>
                <w:szCs w:val="21"/>
                <w:highlight w:val="none"/>
                <w:lang w:eastAsia="zh-CN"/>
              </w:rPr>
              <w:t>；</w:t>
            </w:r>
          </w:p>
          <w:p w14:paraId="26FE82C4">
            <w:pPr>
              <w:keepNext w:val="0"/>
              <w:keepLines w:val="0"/>
              <w:pageBreakBefore w:val="0"/>
              <w:widowControl/>
              <w:spacing w:line="240" w:lineRule="exact"/>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bidi="ar"/>
              </w:rPr>
              <w:t>满足</w:t>
            </w:r>
            <w:r>
              <w:rPr>
                <w:rFonts w:hint="eastAsia" w:ascii="仿宋" w:hAnsi="仿宋" w:eastAsia="仿宋" w:cs="仿宋"/>
                <w:color w:val="auto"/>
                <w:sz w:val="21"/>
                <w:szCs w:val="21"/>
                <w:highlight w:val="none"/>
                <w:lang w:val="en-US" w:eastAsia="zh-CN" w:bidi="ar"/>
              </w:rPr>
              <w:t>上述2</w:t>
            </w:r>
            <w:r>
              <w:rPr>
                <w:rFonts w:hint="eastAsia" w:ascii="仿宋" w:hAnsi="仿宋" w:eastAsia="仿宋" w:cs="仿宋"/>
                <w:color w:val="auto"/>
                <w:sz w:val="21"/>
                <w:szCs w:val="21"/>
                <w:highlight w:val="none"/>
                <w:lang w:val="zh-CN" w:bidi="ar"/>
              </w:rPr>
              <w:t>项要求最多得</w:t>
            </w:r>
            <w:r>
              <w:rPr>
                <w:rFonts w:hint="eastAsia" w:ascii="仿宋" w:hAnsi="仿宋" w:eastAsia="仿宋" w:cs="仿宋"/>
                <w:color w:val="auto"/>
                <w:sz w:val="21"/>
                <w:szCs w:val="21"/>
                <w:highlight w:val="none"/>
                <w:lang w:val="en-US" w:eastAsia="zh-CN" w:bidi="ar"/>
              </w:rPr>
              <w:t>3</w:t>
            </w:r>
            <w:r>
              <w:rPr>
                <w:rFonts w:hint="eastAsia" w:ascii="仿宋" w:hAnsi="仿宋" w:eastAsia="仿宋" w:cs="仿宋"/>
                <w:color w:val="auto"/>
                <w:sz w:val="21"/>
                <w:szCs w:val="21"/>
                <w:highlight w:val="none"/>
                <w:lang w:val="zh-CN" w:bidi="ar"/>
              </w:rPr>
              <w:t>分；满足任意</w:t>
            </w:r>
            <w:r>
              <w:rPr>
                <w:rFonts w:hint="eastAsia" w:ascii="仿宋" w:hAnsi="仿宋" w:eastAsia="仿宋" w:cs="仿宋"/>
                <w:color w:val="auto"/>
                <w:sz w:val="21"/>
                <w:szCs w:val="21"/>
                <w:highlight w:val="none"/>
                <w:lang w:val="en-US" w:eastAsia="zh-CN" w:bidi="ar"/>
              </w:rPr>
              <w:t>1</w:t>
            </w:r>
            <w:r>
              <w:rPr>
                <w:rFonts w:hint="eastAsia" w:ascii="仿宋" w:hAnsi="仿宋" w:eastAsia="仿宋" w:cs="仿宋"/>
                <w:color w:val="auto"/>
                <w:sz w:val="21"/>
                <w:szCs w:val="21"/>
                <w:highlight w:val="none"/>
                <w:lang w:val="zh-CN" w:bidi="ar"/>
              </w:rPr>
              <w:t>项</w:t>
            </w:r>
            <w:r>
              <w:rPr>
                <w:rFonts w:hint="eastAsia" w:ascii="仿宋" w:hAnsi="仿宋" w:eastAsia="仿宋" w:cs="仿宋"/>
                <w:color w:val="auto"/>
                <w:sz w:val="21"/>
                <w:szCs w:val="21"/>
                <w:highlight w:val="none"/>
                <w:lang w:val="en-US" w:eastAsia="zh-CN" w:bidi="ar"/>
              </w:rPr>
              <w:t>要求最多</w:t>
            </w:r>
            <w:r>
              <w:rPr>
                <w:rFonts w:hint="eastAsia" w:ascii="仿宋" w:hAnsi="仿宋" w:eastAsia="仿宋" w:cs="仿宋"/>
                <w:color w:val="auto"/>
                <w:sz w:val="21"/>
                <w:szCs w:val="21"/>
                <w:highlight w:val="none"/>
                <w:lang w:val="zh-CN" w:bidi="ar"/>
              </w:rPr>
              <w:t>得</w:t>
            </w:r>
            <w:r>
              <w:rPr>
                <w:rFonts w:hint="eastAsia" w:ascii="仿宋" w:hAnsi="仿宋" w:eastAsia="仿宋" w:cs="仿宋"/>
                <w:color w:val="auto"/>
                <w:sz w:val="21"/>
                <w:szCs w:val="21"/>
                <w:highlight w:val="none"/>
                <w:lang w:val="en-US" w:eastAsia="zh-CN" w:bidi="ar"/>
              </w:rPr>
              <w:t>1.5</w:t>
            </w:r>
            <w:r>
              <w:rPr>
                <w:rFonts w:hint="eastAsia" w:ascii="仿宋" w:hAnsi="仿宋" w:eastAsia="仿宋" w:cs="仿宋"/>
                <w:color w:val="auto"/>
                <w:sz w:val="21"/>
                <w:szCs w:val="21"/>
                <w:highlight w:val="none"/>
                <w:lang w:val="zh-CN" w:bidi="ar"/>
              </w:rPr>
              <w:t>分；其余情况不得分。</w:t>
            </w:r>
          </w:p>
          <w:p w14:paraId="2B26BBBC">
            <w:pPr>
              <w:keepNext w:val="0"/>
              <w:keepLines w:val="0"/>
              <w:pageBreakBefore w:val="0"/>
              <w:widowControl/>
              <w:spacing w:line="240" w:lineRule="exact"/>
              <w:ind w:firstLine="422"/>
              <w:jc w:val="left"/>
              <w:rPr>
                <w:rFonts w:hint="eastAsia" w:ascii="仿宋" w:hAnsi="仿宋" w:eastAsia="仿宋" w:cs="仿宋"/>
                <w:b/>
                <w:bCs/>
                <w:color w:val="auto"/>
                <w:sz w:val="21"/>
                <w:szCs w:val="21"/>
                <w:highlight w:val="none"/>
                <w:lang w:val="zh-CN" w:bidi="ar"/>
              </w:rPr>
            </w:pPr>
            <w:r>
              <w:rPr>
                <w:rFonts w:hint="eastAsia" w:ascii="仿宋" w:hAnsi="仿宋" w:eastAsia="仿宋" w:cs="仿宋"/>
                <w:b/>
                <w:bCs/>
                <w:color w:val="auto"/>
                <w:sz w:val="21"/>
                <w:szCs w:val="21"/>
                <w:highlight w:val="none"/>
                <w:lang w:val="zh-CN" w:bidi="ar"/>
              </w:rPr>
              <w:t>注：评审委员会根据各</w:t>
            </w:r>
            <w:r>
              <w:rPr>
                <w:rFonts w:hint="eastAsia" w:ascii="仿宋" w:hAnsi="仿宋" w:eastAsia="仿宋" w:cs="仿宋"/>
                <w:b/>
                <w:bCs/>
                <w:color w:val="auto"/>
                <w:sz w:val="21"/>
                <w:szCs w:val="21"/>
                <w:highlight w:val="none"/>
                <w:lang w:val="en-US" w:eastAsia="zh-CN" w:bidi="ar"/>
              </w:rPr>
              <w:t>投标人</w:t>
            </w:r>
            <w:r>
              <w:rPr>
                <w:rFonts w:hint="eastAsia" w:ascii="仿宋" w:hAnsi="仿宋" w:eastAsia="仿宋" w:cs="仿宋"/>
                <w:b/>
                <w:bCs/>
                <w:color w:val="auto"/>
                <w:sz w:val="21"/>
                <w:szCs w:val="21"/>
                <w:highlight w:val="none"/>
                <w:lang w:val="zh-CN" w:bidi="ar"/>
              </w:rPr>
              <w:t>的具体响应内容按照以下量化的评审因素指标对各项要求进行</w:t>
            </w:r>
            <w:r>
              <w:rPr>
                <w:rFonts w:hint="eastAsia" w:ascii="仿宋" w:hAnsi="仿宋" w:eastAsia="仿宋" w:cs="仿宋"/>
                <w:b/>
                <w:bCs/>
                <w:color w:val="auto"/>
                <w:sz w:val="21"/>
                <w:szCs w:val="21"/>
                <w:highlight w:val="none"/>
                <w:lang w:val="en-US" w:eastAsia="zh-CN" w:bidi="ar"/>
              </w:rPr>
              <w:t>评审</w:t>
            </w:r>
            <w:r>
              <w:rPr>
                <w:rFonts w:hint="eastAsia" w:ascii="仿宋" w:hAnsi="仿宋" w:eastAsia="仿宋" w:cs="仿宋"/>
                <w:b/>
                <w:bCs/>
                <w:color w:val="auto"/>
                <w:sz w:val="21"/>
                <w:szCs w:val="21"/>
                <w:highlight w:val="none"/>
                <w:lang w:val="zh-CN" w:bidi="ar"/>
              </w:rPr>
              <w:t>：</w:t>
            </w:r>
          </w:p>
          <w:p w14:paraId="165FA2A9">
            <w:pPr>
              <w:keepNext w:val="0"/>
              <w:keepLines w:val="0"/>
              <w:pageBreakBefore w:val="0"/>
              <w:widowControl/>
              <w:spacing w:line="240" w:lineRule="exact"/>
              <w:ind w:firstLine="422"/>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图纸完整，方案合理且规范，完全符合现场实际情况的得</w:t>
            </w: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eastAsia="zh-CN"/>
              </w:rPr>
              <w:t>；</w:t>
            </w:r>
          </w:p>
          <w:p w14:paraId="3370D979">
            <w:pPr>
              <w:keepNext w:val="0"/>
              <w:keepLines w:val="0"/>
              <w:pageBreakBefore w:val="0"/>
              <w:widowControl/>
              <w:spacing w:line="240" w:lineRule="exact"/>
              <w:ind w:firstLine="422"/>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图纸较完整，方案较合理且规范，较能符合现场实际情况的得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eastAsia="zh-CN"/>
              </w:rPr>
              <w:t>；</w:t>
            </w:r>
          </w:p>
          <w:p w14:paraId="5F7F5B16">
            <w:pPr>
              <w:keepNext w:val="0"/>
              <w:keepLines w:val="0"/>
              <w:pageBreakBefore w:val="0"/>
              <w:widowControl/>
              <w:spacing w:line="240" w:lineRule="exact"/>
              <w:ind w:firstLine="422"/>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图纸基本完整，方案基本合理目规范、美观，基本符合现场实际情况的得</w:t>
            </w:r>
            <w:r>
              <w:rPr>
                <w:rFonts w:hint="eastAsia" w:ascii="仿宋" w:hAnsi="仿宋" w:eastAsia="仿宋" w:cs="仿宋"/>
                <w:color w:val="auto"/>
                <w:sz w:val="21"/>
                <w:szCs w:val="21"/>
                <w:highlight w:val="none"/>
                <w:lang w:val="en-US" w:eastAsia="zh-CN"/>
              </w:rPr>
              <w:t>0.5</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eastAsia="zh-CN"/>
              </w:rPr>
              <w:t>；</w:t>
            </w:r>
          </w:p>
          <w:p w14:paraId="52E0D21E">
            <w:pPr>
              <w:keepNext w:val="0"/>
              <w:keepLines w:val="0"/>
              <w:pageBreakBefore w:val="0"/>
              <w:widowControl/>
              <w:spacing w:line="240" w:lineRule="exact"/>
              <w:ind w:firstLine="422"/>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图纸不完整，方案不合理规范、不美观，设计存在缺陷不能符合现场实际情况或未提供的不得分。</w:t>
            </w:r>
          </w:p>
          <w:p w14:paraId="0AD71603">
            <w:pPr>
              <w:keepNext w:val="0"/>
              <w:keepLines w:val="0"/>
              <w:pageBreakBefore w:val="0"/>
              <w:widowControl/>
              <w:spacing w:line="240" w:lineRule="exact"/>
              <w:ind w:firstLine="420"/>
              <w:jc w:val="left"/>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color w:val="auto"/>
                <w:sz w:val="21"/>
                <w:szCs w:val="21"/>
                <w:highlight w:val="none"/>
              </w:rPr>
              <w:t>☆注：最终需按照提供的专项设计方案</w:t>
            </w:r>
            <w:r>
              <w:rPr>
                <w:rFonts w:hint="eastAsia" w:ascii="仿宋" w:hAnsi="仿宋" w:eastAsia="仿宋" w:cs="仿宋"/>
                <w:color w:val="auto"/>
                <w:sz w:val="21"/>
                <w:szCs w:val="21"/>
                <w:highlight w:val="none"/>
                <w:lang w:val="en-US" w:eastAsia="zh-CN"/>
              </w:rPr>
              <w:t>优化实施</w:t>
            </w:r>
            <w:r>
              <w:rPr>
                <w:rFonts w:hint="eastAsia" w:ascii="仿宋" w:hAnsi="仿宋" w:eastAsia="仿宋" w:cs="仿宋"/>
                <w:color w:val="auto"/>
                <w:sz w:val="21"/>
                <w:szCs w:val="21"/>
                <w:highlight w:val="none"/>
              </w:rPr>
              <w:t>。</w:t>
            </w:r>
          </w:p>
        </w:tc>
      </w:tr>
      <w:tr w14:paraId="17F23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575" w:type="dxa"/>
            <w:vMerge w:val="continue"/>
            <w:tcBorders>
              <w:left w:val="single" w:color="auto" w:sz="4" w:space="0"/>
              <w:right w:val="single" w:color="auto" w:sz="4" w:space="0"/>
            </w:tcBorders>
            <w:noWrap w:val="0"/>
            <w:vAlign w:val="center"/>
          </w:tcPr>
          <w:p w14:paraId="71FD9A5A">
            <w:pPr>
              <w:keepNext w:val="0"/>
              <w:keepLines w:val="0"/>
              <w:pageBreakBefore w:val="0"/>
              <w:spacing w:line="240" w:lineRule="exact"/>
              <w:jc w:val="center"/>
              <w:rPr>
                <w:rFonts w:hint="eastAsia" w:ascii="仿宋" w:hAnsi="仿宋" w:eastAsia="仿宋" w:cs="仿宋"/>
                <w:color w:val="auto"/>
                <w:sz w:val="21"/>
                <w:szCs w:val="21"/>
                <w:highlight w:val="none"/>
              </w:rPr>
            </w:pPr>
          </w:p>
        </w:tc>
        <w:tc>
          <w:tcPr>
            <w:tcW w:w="1118" w:type="dxa"/>
            <w:vMerge w:val="continue"/>
            <w:tcBorders>
              <w:left w:val="single" w:color="auto" w:sz="4" w:space="0"/>
              <w:right w:val="single" w:color="auto" w:sz="4" w:space="0"/>
            </w:tcBorders>
            <w:noWrap w:val="0"/>
            <w:vAlign w:val="center"/>
          </w:tcPr>
          <w:p w14:paraId="7E2B01FD">
            <w:pPr>
              <w:keepNext w:val="0"/>
              <w:keepLines w:val="0"/>
              <w:pageBreakBefore w:val="0"/>
              <w:spacing w:line="240" w:lineRule="exact"/>
              <w:jc w:val="center"/>
              <w:rPr>
                <w:rFonts w:hint="eastAsia" w:ascii="仿宋" w:hAnsi="仿宋" w:eastAsia="仿宋" w:cs="仿宋"/>
                <w:color w:val="auto"/>
                <w:sz w:val="21"/>
                <w:szCs w:val="21"/>
                <w:highlight w:val="none"/>
              </w:rPr>
            </w:pPr>
          </w:p>
        </w:tc>
        <w:tc>
          <w:tcPr>
            <w:tcW w:w="1352" w:type="dxa"/>
            <w:tcBorders>
              <w:top w:val="single" w:color="auto" w:sz="4" w:space="0"/>
              <w:left w:val="single" w:color="auto" w:sz="4" w:space="0"/>
              <w:right w:val="single" w:color="auto" w:sz="4" w:space="0"/>
            </w:tcBorders>
            <w:noWrap w:val="0"/>
            <w:vAlign w:val="center"/>
          </w:tcPr>
          <w:p w14:paraId="250F2B7C">
            <w:pPr>
              <w:keepNext w:val="0"/>
              <w:keepLines w:val="0"/>
              <w:pageBreakBefore w:val="0"/>
              <w:widowControl/>
              <w:spacing w:line="240" w:lineRule="exact"/>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售后服务及培训方案</w:t>
            </w:r>
          </w:p>
        </w:tc>
        <w:tc>
          <w:tcPr>
            <w:tcW w:w="818" w:type="dxa"/>
            <w:tcBorders>
              <w:top w:val="single" w:color="auto" w:sz="4" w:space="0"/>
              <w:left w:val="single" w:color="auto" w:sz="4" w:space="0"/>
              <w:right w:val="single" w:color="auto" w:sz="4" w:space="0"/>
            </w:tcBorders>
            <w:noWrap w:val="0"/>
            <w:vAlign w:val="center"/>
          </w:tcPr>
          <w:p w14:paraId="333338BC">
            <w:pPr>
              <w:keepNext w:val="0"/>
              <w:keepLines w:val="0"/>
              <w:pageBreakBefore w:val="0"/>
              <w:widowControl w:val="0"/>
              <w:spacing w:line="240" w:lineRule="exact"/>
              <w:jc w:val="center"/>
              <w:rPr>
                <w:rFonts w:hint="eastAsia" w:ascii="仿宋" w:hAnsi="仿宋" w:eastAsia="仿宋" w:cs="仿宋"/>
                <w:b w:val="0"/>
                <w:bCs w:val="0"/>
                <w:color w:val="auto"/>
                <w:sz w:val="21"/>
                <w:szCs w:val="21"/>
                <w:highlight w:val="none"/>
                <w:lang w:val="en-US"/>
              </w:rPr>
            </w:pPr>
            <w:r>
              <w:rPr>
                <w:rFonts w:hint="eastAsia" w:ascii="仿宋" w:hAnsi="仿宋" w:eastAsia="仿宋" w:cs="仿宋"/>
                <w:b w:val="0"/>
                <w:bCs w:val="0"/>
                <w:color w:val="auto"/>
                <w:sz w:val="21"/>
                <w:szCs w:val="21"/>
                <w:highlight w:val="none"/>
                <w:lang w:val="en-US" w:eastAsia="zh-CN"/>
              </w:rPr>
              <w:t>5</w:t>
            </w:r>
          </w:p>
        </w:tc>
        <w:tc>
          <w:tcPr>
            <w:tcW w:w="5697" w:type="dxa"/>
            <w:tcBorders>
              <w:top w:val="single" w:color="auto" w:sz="4" w:space="0"/>
              <w:left w:val="single" w:color="auto" w:sz="4" w:space="0"/>
              <w:right w:val="single" w:color="auto" w:sz="4" w:space="0"/>
            </w:tcBorders>
            <w:noWrap w:val="0"/>
            <w:vAlign w:val="center"/>
          </w:tcPr>
          <w:p w14:paraId="57E9BEB8">
            <w:pPr>
              <w:keepNext w:val="0"/>
              <w:keepLines w:val="0"/>
              <w:pageBreakBefore w:val="0"/>
              <w:widowControl/>
              <w:spacing w:line="240" w:lineRule="exact"/>
              <w:ind w:firstLine="420"/>
              <w:jc w:val="left"/>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评审委员会根据</w:t>
            </w:r>
            <w:r>
              <w:rPr>
                <w:rFonts w:hint="eastAsia" w:ascii="仿宋" w:hAnsi="仿宋" w:eastAsia="仿宋" w:cs="仿宋"/>
                <w:color w:val="auto"/>
                <w:sz w:val="21"/>
                <w:szCs w:val="21"/>
                <w:highlight w:val="none"/>
                <w:lang w:val="zh-CN" w:bidi="ar"/>
              </w:rPr>
              <w:t>投标人提供的</w:t>
            </w:r>
            <w:r>
              <w:rPr>
                <w:rFonts w:hint="eastAsia" w:ascii="仿宋" w:hAnsi="仿宋" w:eastAsia="仿宋" w:cs="仿宋"/>
                <w:color w:val="auto"/>
                <w:sz w:val="21"/>
                <w:szCs w:val="21"/>
                <w:highlight w:val="none"/>
                <w:lang w:val="en-US" w:eastAsia="zh-CN" w:bidi="ar"/>
              </w:rPr>
              <w:t>售后服务方案</w:t>
            </w:r>
            <w:r>
              <w:rPr>
                <w:rFonts w:hint="eastAsia" w:ascii="仿宋" w:hAnsi="仿宋" w:eastAsia="仿宋" w:cs="仿宋"/>
                <w:color w:val="auto"/>
                <w:sz w:val="21"/>
                <w:szCs w:val="21"/>
                <w:highlight w:val="none"/>
                <w:lang w:val="zh-CN" w:bidi="ar"/>
              </w:rPr>
              <w:t>包含但不限于</w:t>
            </w:r>
            <w:r>
              <w:rPr>
                <w:rFonts w:hint="eastAsia" w:ascii="仿宋" w:hAnsi="仿宋" w:eastAsia="仿宋" w:cs="仿宋"/>
                <w:b w:val="0"/>
                <w:bCs w:val="0"/>
                <w:color w:val="auto"/>
                <w:sz w:val="21"/>
                <w:szCs w:val="21"/>
                <w:highlight w:val="none"/>
                <w:lang w:val="zh-CN" w:bidi="ar"/>
              </w:rPr>
              <w:t>①故障</w:t>
            </w:r>
            <w:r>
              <w:rPr>
                <w:rFonts w:hint="eastAsia" w:ascii="仿宋" w:hAnsi="仿宋" w:eastAsia="仿宋" w:cs="仿宋"/>
                <w:b w:val="0"/>
                <w:bCs w:val="0"/>
                <w:color w:val="auto"/>
                <w:sz w:val="21"/>
                <w:szCs w:val="21"/>
                <w:highlight w:val="none"/>
                <w:lang w:val="zh-CN" w:eastAsia="zh-CN" w:bidi="ar"/>
              </w:rPr>
              <w:t>处理保障措施（维修及响应时间）；②备</w:t>
            </w:r>
            <w:r>
              <w:rPr>
                <w:rFonts w:hint="eastAsia" w:ascii="仿宋" w:hAnsi="仿宋" w:eastAsia="仿宋" w:cs="仿宋"/>
                <w:b w:val="0"/>
                <w:bCs w:val="0"/>
                <w:color w:val="auto"/>
                <w:sz w:val="21"/>
                <w:szCs w:val="21"/>
                <w:highlight w:val="none"/>
                <w:lang w:val="en-US" w:eastAsia="zh-CN" w:bidi="ar"/>
              </w:rPr>
              <w:t>品</w:t>
            </w:r>
            <w:r>
              <w:rPr>
                <w:rFonts w:hint="eastAsia" w:ascii="仿宋" w:hAnsi="仿宋" w:eastAsia="仿宋" w:cs="仿宋"/>
                <w:b w:val="0"/>
                <w:bCs w:val="0"/>
                <w:color w:val="auto"/>
                <w:sz w:val="21"/>
                <w:szCs w:val="21"/>
                <w:highlight w:val="none"/>
                <w:lang w:val="zh-CN" w:eastAsia="zh-CN" w:bidi="ar"/>
              </w:rPr>
              <w:t>备件情况（</w:t>
            </w:r>
            <w:r>
              <w:rPr>
                <w:rFonts w:hint="eastAsia" w:ascii="仿宋" w:hAnsi="仿宋" w:eastAsia="仿宋" w:cs="仿宋"/>
                <w:b w:val="0"/>
                <w:bCs w:val="0"/>
                <w:color w:val="auto"/>
                <w:sz w:val="21"/>
                <w:szCs w:val="21"/>
                <w:highlight w:val="none"/>
                <w:lang w:val="en-US" w:eastAsia="zh-CN" w:bidi="ar"/>
              </w:rPr>
              <w:t>易损件的备品备件清单、</w:t>
            </w:r>
            <w:r>
              <w:rPr>
                <w:rFonts w:hint="eastAsia" w:ascii="仿宋" w:hAnsi="仿宋" w:eastAsia="仿宋" w:cs="仿宋"/>
                <w:b w:val="0"/>
                <w:bCs w:val="0"/>
                <w:color w:val="auto"/>
                <w:sz w:val="21"/>
                <w:szCs w:val="21"/>
                <w:highlight w:val="none"/>
                <w:lang w:val="zh-CN" w:eastAsia="zh-CN" w:bidi="ar"/>
              </w:rPr>
              <w:t>质保期后的配件及耗材优惠</w:t>
            </w:r>
            <w:r>
              <w:rPr>
                <w:rFonts w:hint="eastAsia" w:ascii="仿宋" w:hAnsi="仿宋" w:eastAsia="仿宋" w:cs="仿宋"/>
                <w:b w:val="0"/>
                <w:bCs w:val="0"/>
                <w:color w:val="auto"/>
                <w:sz w:val="21"/>
                <w:szCs w:val="21"/>
                <w:highlight w:val="none"/>
                <w:lang w:val="en-US" w:eastAsia="zh-CN" w:bidi="ar"/>
              </w:rPr>
              <w:t>政策</w:t>
            </w:r>
            <w:r>
              <w:rPr>
                <w:rFonts w:hint="eastAsia" w:ascii="仿宋" w:hAnsi="仿宋" w:eastAsia="仿宋" w:cs="仿宋"/>
                <w:b w:val="0"/>
                <w:bCs w:val="0"/>
                <w:color w:val="auto"/>
                <w:sz w:val="21"/>
                <w:szCs w:val="21"/>
                <w:highlight w:val="none"/>
                <w:lang w:val="zh-CN" w:eastAsia="zh-CN" w:bidi="ar"/>
              </w:rPr>
              <w:t>）；③</w:t>
            </w:r>
            <w:r>
              <w:rPr>
                <w:rFonts w:hint="eastAsia" w:ascii="仿宋" w:hAnsi="仿宋" w:eastAsia="仿宋" w:cs="仿宋"/>
                <w:b w:val="0"/>
                <w:bCs w:val="0"/>
                <w:color w:val="auto"/>
                <w:sz w:val="21"/>
                <w:szCs w:val="21"/>
                <w:highlight w:val="none"/>
                <w:lang w:val="en-US" w:eastAsia="zh-CN" w:bidi="ar"/>
              </w:rPr>
              <w:t>售后服务人员配置；④售后服务及运维期内、外保障措施等方面进行综合评审；⑤培训师资力量、培训计划及内容。</w:t>
            </w:r>
          </w:p>
          <w:p w14:paraId="4D8C5F2E">
            <w:pPr>
              <w:keepNext w:val="0"/>
              <w:keepLines w:val="0"/>
              <w:pageBreakBefore w:val="0"/>
              <w:widowControl/>
              <w:spacing w:line="240" w:lineRule="exact"/>
              <w:ind w:firstLine="422"/>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zh-CN" w:bidi="ar"/>
              </w:rPr>
              <w:t>满足以上</w:t>
            </w:r>
            <w:r>
              <w:rPr>
                <w:rFonts w:hint="eastAsia" w:ascii="仿宋" w:hAnsi="仿宋" w:eastAsia="仿宋" w:cs="仿宋"/>
                <w:b w:val="0"/>
                <w:bCs w:val="0"/>
                <w:color w:val="auto"/>
                <w:sz w:val="21"/>
                <w:szCs w:val="21"/>
                <w:highlight w:val="none"/>
                <w:lang w:val="en-US" w:eastAsia="zh-CN" w:bidi="ar"/>
              </w:rPr>
              <w:t>5</w:t>
            </w:r>
            <w:r>
              <w:rPr>
                <w:rFonts w:hint="eastAsia" w:ascii="仿宋" w:hAnsi="仿宋" w:eastAsia="仿宋" w:cs="仿宋"/>
                <w:b w:val="0"/>
                <w:bCs w:val="0"/>
                <w:color w:val="auto"/>
                <w:sz w:val="21"/>
                <w:szCs w:val="21"/>
                <w:highlight w:val="none"/>
                <w:lang w:val="zh-CN" w:bidi="ar"/>
              </w:rPr>
              <w:t>项要求最多得</w:t>
            </w:r>
            <w:r>
              <w:rPr>
                <w:rFonts w:hint="eastAsia" w:ascii="仿宋" w:hAnsi="仿宋" w:eastAsia="仿宋" w:cs="仿宋"/>
                <w:b w:val="0"/>
                <w:bCs w:val="0"/>
                <w:color w:val="auto"/>
                <w:sz w:val="21"/>
                <w:szCs w:val="21"/>
                <w:highlight w:val="none"/>
                <w:lang w:val="en-US" w:eastAsia="zh-CN" w:bidi="ar"/>
              </w:rPr>
              <w:t>5</w:t>
            </w:r>
            <w:r>
              <w:rPr>
                <w:rFonts w:hint="eastAsia" w:ascii="仿宋" w:hAnsi="仿宋" w:eastAsia="仿宋" w:cs="仿宋"/>
                <w:b w:val="0"/>
                <w:bCs w:val="0"/>
                <w:color w:val="auto"/>
                <w:sz w:val="21"/>
                <w:szCs w:val="21"/>
                <w:highlight w:val="none"/>
                <w:lang w:val="zh-CN" w:bidi="ar"/>
              </w:rPr>
              <w:t>分；满足任意</w:t>
            </w:r>
            <w:r>
              <w:rPr>
                <w:rFonts w:hint="eastAsia" w:ascii="仿宋" w:hAnsi="仿宋" w:eastAsia="仿宋" w:cs="仿宋"/>
                <w:b w:val="0"/>
                <w:bCs w:val="0"/>
                <w:color w:val="auto"/>
                <w:sz w:val="21"/>
                <w:szCs w:val="21"/>
                <w:highlight w:val="none"/>
                <w:lang w:val="en-US" w:eastAsia="zh-CN" w:bidi="ar"/>
              </w:rPr>
              <w:t>1</w:t>
            </w:r>
            <w:r>
              <w:rPr>
                <w:rFonts w:hint="eastAsia" w:ascii="仿宋" w:hAnsi="仿宋" w:eastAsia="仿宋" w:cs="仿宋"/>
                <w:b w:val="0"/>
                <w:bCs w:val="0"/>
                <w:color w:val="auto"/>
                <w:sz w:val="21"/>
                <w:szCs w:val="21"/>
                <w:highlight w:val="none"/>
                <w:lang w:val="zh-CN" w:bidi="ar"/>
              </w:rPr>
              <w:t>项</w:t>
            </w:r>
            <w:r>
              <w:rPr>
                <w:rFonts w:hint="eastAsia" w:ascii="仿宋" w:hAnsi="仿宋" w:eastAsia="仿宋" w:cs="仿宋"/>
                <w:b w:val="0"/>
                <w:bCs w:val="0"/>
                <w:color w:val="auto"/>
                <w:sz w:val="21"/>
                <w:szCs w:val="21"/>
                <w:highlight w:val="none"/>
                <w:lang w:val="en-US" w:eastAsia="zh-CN" w:bidi="ar"/>
              </w:rPr>
              <w:t>要求最多</w:t>
            </w:r>
            <w:r>
              <w:rPr>
                <w:rFonts w:hint="eastAsia" w:ascii="仿宋" w:hAnsi="仿宋" w:eastAsia="仿宋" w:cs="仿宋"/>
                <w:b w:val="0"/>
                <w:bCs w:val="0"/>
                <w:color w:val="auto"/>
                <w:sz w:val="21"/>
                <w:szCs w:val="21"/>
                <w:highlight w:val="none"/>
                <w:lang w:val="zh-CN" w:bidi="ar"/>
              </w:rPr>
              <w:t>得</w:t>
            </w:r>
            <w:r>
              <w:rPr>
                <w:rFonts w:hint="eastAsia" w:ascii="仿宋" w:hAnsi="仿宋" w:eastAsia="仿宋" w:cs="仿宋"/>
                <w:b w:val="0"/>
                <w:bCs w:val="0"/>
                <w:color w:val="auto"/>
                <w:sz w:val="21"/>
                <w:szCs w:val="21"/>
                <w:highlight w:val="none"/>
                <w:lang w:val="en-US" w:eastAsia="zh-CN" w:bidi="ar"/>
              </w:rPr>
              <w:t>1</w:t>
            </w:r>
            <w:r>
              <w:rPr>
                <w:rFonts w:hint="eastAsia" w:ascii="仿宋" w:hAnsi="仿宋" w:eastAsia="仿宋" w:cs="仿宋"/>
                <w:b w:val="0"/>
                <w:bCs w:val="0"/>
                <w:color w:val="auto"/>
                <w:sz w:val="21"/>
                <w:szCs w:val="21"/>
                <w:highlight w:val="none"/>
                <w:lang w:val="zh-CN" w:bidi="ar"/>
              </w:rPr>
              <w:t>分；其余情况不得分。</w:t>
            </w:r>
          </w:p>
          <w:p w14:paraId="5D69EFA4">
            <w:pPr>
              <w:keepNext w:val="0"/>
              <w:keepLines w:val="0"/>
              <w:pageBreakBefore w:val="0"/>
              <w:widowControl/>
              <w:spacing w:line="240" w:lineRule="exact"/>
              <w:ind w:firstLine="422"/>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CN" w:bidi="ar"/>
              </w:rPr>
              <w:t>注：评审委员会根据各</w:t>
            </w:r>
            <w:r>
              <w:rPr>
                <w:rFonts w:hint="eastAsia" w:ascii="仿宋" w:hAnsi="仿宋" w:eastAsia="仿宋" w:cs="仿宋"/>
                <w:b/>
                <w:bCs/>
                <w:color w:val="auto"/>
                <w:sz w:val="21"/>
                <w:szCs w:val="21"/>
                <w:highlight w:val="none"/>
                <w:lang w:val="en-US" w:eastAsia="zh-CN" w:bidi="ar"/>
              </w:rPr>
              <w:t>投标人</w:t>
            </w:r>
            <w:r>
              <w:rPr>
                <w:rFonts w:hint="eastAsia" w:ascii="仿宋" w:hAnsi="仿宋" w:eastAsia="仿宋" w:cs="仿宋"/>
                <w:b/>
                <w:bCs/>
                <w:color w:val="auto"/>
                <w:sz w:val="21"/>
                <w:szCs w:val="21"/>
                <w:highlight w:val="none"/>
                <w:lang w:val="zh-CN" w:bidi="ar"/>
              </w:rPr>
              <w:t>的具体响应内容按照以下量化的评审因素指标对各项要求进行</w:t>
            </w:r>
            <w:r>
              <w:rPr>
                <w:rFonts w:hint="eastAsia" w:ascii="仿宋" w:hAnsi="仿宋" w:eastAsia="仿宋" w:cs="仿宋"/>
                <w:b/>
                <w:bCs/>
                <w:color w:val="auto"/>
                <w:sz w:val="21"/>
                <w:szCs w:val="21"/>
                <w:highlight w:val="none"/>
                <w:lang w:val="en-US" w:eastAsia="zh-CN" w:bidi="ar"/>
              </w:rPr>
              <w:t>评审</w:t>
            </w:r>
            <w:r>
              <w:rPr>
                <w:rFonts w:hint="eastAsia" w:ascii="仿宋" w:hAnsi="仿宋" w:eastAsia="仿宋" w:cs="仿宋"/>
                <w:b/>
                <w:bCs/>
                <w:color w:val="auto"/>
                <w:sz w:val="21"/>
                <w:szCs w:val="21"/>
                <w:highlight w:val="none"/>
                <w:lang w:val="zh-CN" w:bidi="ar"/>
              </w:rPr>
              <w:t>：</w:t>
            </w:r>
          </w:p>
          <w:p w14:paraId="3F36C180">
            <w:pPr>
              <w:keepNext w:val="0"/>
              <w:keepLines w:val="0"/>
              <w:pageBreakBefore w:val="0"/>
              <w:widowControl/>
              <w:spacing w:line="240" w:lineRule="exact"/>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bidi="ar"/>
              </w:rPr>
              <w:t>①方案完整详尽，可行性强，考虑周全，思路特别清晰，符合项目需求该项得</w:t>
            </w:r>
            <w:r>
              <w:rPr>
                <w:rFonts w:hint="eastAsia" w:ascii="仿宋" w:hAnsi="仿宋" w:eastAsia="仿宋" w:cs="仿宋"/>
                <w:color w:val="auto"/>
                <w:sz w:val="21"/>
                <w:szCs w:val="21"/>
                <w:highlight w:val="none"/>
                <w:lang w:val="en-US" w:eastAsia="zh-CN" w:bidi="ar"/>
              </w:rPr>
              <w:t>1</w:t>
            </w:r>
            <w:r>
              <w:rPr>
                <w:rFonts w:hint="eastAsia" w:ascii="仿宋" w:hAnsi="仿宋" w:eastAsia="仿宋" w:cs="仿宋"/>
                <w:color w:val="auto"/>
                <w:sz w:val="21"/>
                <w:szCs w:val="21"/>
                <w:highlight w:val="none"/>
                <w:lang w:val="zh-CN" w:bidi="ar"/>
              </w:rPr>
              <w:t>分；</w:t>
            </w:r>
          </w:p>
          <w:p w14:paraId="0A93E767">
            <w:pPr>
              <w:keepNext w:val="0"/>
              <w:keepLines w:val="0"/>
              <w:pageBreakBefore w:val="0"/>
              <w:widowControl/>
              <w:spacing w:line="240" w:lineRule="exact"/>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w:t>
            </w:r>
            <w:r>
              <w:rPr>
                <w:rFonts w:hint="eastAsia" w:ascii="仿宋" w:hAnsi="仿宋" w:eastAsia="仿宋" w:cs="仿宋"/>
                <w:color w:val="auto"/>
                <w:sz w:val="21"/>
                <w:szCs w:val="21"/>
                <w:highlight w:val="none"/>
                <w:lang w:val="zh-CN" w:bidi="ar"/>
              </w:rPr>
              <w:t>对项目有一定的认识，方案较为完整，思路基本清晰，基本符合项目需求该项得</w:t>
            </w:r>
            <w:r>
              <w:rPr>
                <w:rFonts w:hint="eastAsia" w:ascii="仿宋" w:hAnsi="仿宋" w:eastAsia="仿宋" w:cs="仿宋"/>
                <w:color w:val="auto"/>
                <w:sz w:val="21"/>
                <w:szCs w:val="21"/>
                <w:highlight w:val="none"/>
                <w:lang w:val="en-US" w:eastAsia="zh-CN" w:bidi="ar"/>
              </w:rPr>
              <w:t>0.7</w:t>
            </w:r>
            <w:r>
              <w:rPr>
                <w:rFonts w:hint="eastAsia" w:ascii="仿宋" w:hAnsi="仿宋" w:eastAsia="仿宋" w:cs="仿宋"/>
                <w:color w:val="auto"/>
                <w:sz w:val="21"/>
                <w:szCs w:val="21"/>
                <w:highlight w:val="none"/>
                <w:lang w:val="zh-CN" w:bidi="ar"/>
              </w:rPr>
              <w:t>分；</w:t>
            </w:r>
          </w:p>
          <w:p w14:paraId="3D9AD490">
            <w:pPr>
              <w:keepNext w:val="0"/>
              <w:keepLines w:val="0"/>
              <w:pageBreakBefore w:val="0"/>
              <w:widowControl/>
              <w:spacing w:line="240" w:lineRule="exact"/>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w:t>
            </w:r>
            <w:r>
              <w:rPr>
                <w:rFonts w:hint="eastAsia" w:ascii="仿宋" w:hAnsi="仿宋" w:eastAsia="仿宋" w:cs="仿宋"/>
                <w:color w:val="auto"/>
                <w:sz w:val="21"/>
                <w:szCs w:val="21"/>
                <w:highlight w:val="none"/>
                <w:lang w:val="zh-CN" w:bidi="ar"/>
              </w:rPr>
              <w:t>方案</w:t>
            </w:r>
            <w:r>
              <w:rPr>
                <w:rFonts w:hint="eastAsia" w:ascii="仿宋" w:hAnsi="仿宋" w:eastAsia="仿宋" w:cs="仿宋"/>
                <w:color w:val="auto"/>
                <w:sz w:val="21"/>
                <w:szCs w:val="21"/>
                <w:highlight w:val="none"/>
                <w:lang w:val="en-US" w:eastAsia="zh-CN" w:bidi="ar"/>
              </w:rPr>
              <w:t>内容</w:t>
            </w:r>
            <w:r>
              <w:rPr>
                <w:rFonts w:hint="eastAsia" w:ascii="仿宋" w:hAnsi="仿宋" w:eastAsia="仿宋" w:cs="仿宋"/>
                <w:color w:val="auto"/>
                <w:sz w:val="21"/>
                <w:szCs w:val="21"/>
                <w:highlight w:val="none"/>
                <w:lang w:val="zh-CN" w:bidi="ar"/>
              </w:rPr>
              <w:t>欠</w:t>
            </w:r>
            <w:r>
              <w:rPr>
                <w:rFonts w:hint="eastAsia" w:ascii="仿宋" w:hAnsi="仿宋" w:eastAsia="仿宋" w:cs="仿宋"/>
                <w:color w:val="auto"/>
                <w:sz w:val="21"/>
                <w:szCs w:val="21"/>
                <w:highlight w:val="none"/>
                <w:lang w:val="en-US" w:eastAsia="zh-CN" w:bidi="ar"/>
              </w:rPr>
              <w:t>缺</w:t>
            </w:r>
            <w:r>
              <w:rPr>
                <w:rFonts w:hint="eastAsia" w:ascii="仿宋" w:hAnsi="仿宋" w:eastAsia="仿宋" w:cs="仿宋"/>
                <w:color w:val="auto"/>
                <w:sz w:val="21"/>
                <w:szCs w:val="21"/>
                <w:highlight w:val="none"/>
                <w:lang w:val="zh-CN" w:bidi="ar"/>
              </w:rPr>
              <w:t>，与项目需求响应度低，项目理解思路</w:t>
            </w:r>
            <w:r>
              <w:rPr>
                <w:rFonts w:hint="eastAsia" w:ascii="仿宋" w:hAnsi="仿宋" w:eastAsia="仿宋" w:cs="仿宋"/>
                <w:color w:val="auto"/>
                <w:sz w:val="21"/>
                <w:szCs w:val="21"/>
                <w:highlight w:val="none"/>
                <w:lang w:val="en-US" w:eastAsia="zh-CN" w:bidi="ar"/>
              </w:rPr>
              <w:t>不够清晰</w:t>
            </w:r>
            <w:r>
              <w:rPr>
                <w:rFonts w:hint="eastAsia" w:ascii="仿宋" w:hAnsi="仿宋" w:eastAsia="仿宋" w:cs="仿宋"/>
                <w:color w:val="auto"/>
                <w:sz w:val="21"/>
                <w:szCs w:val="21"/>
                <w:highlight w:val="none"/>
                <w:lang w:val="zh-CN" w:bidi="ar"/>
              </w:rPr>
              <w:t>该项得</w:t>
            </w:r>
            <w:r>
              <w:rPr>
                <w:rFonts w:hint="eastAsia" w:ascii="仿宋" w:hAnsi="仿宋" w:eastAsia="仿宋" w:cs="仿宋"/>
                <w:color w:val="auto"/>
                <w:sz w:val="21"/>
                <w:szCs w:val="21"/>
                <w:highlight w:val="none"/>
                <w:lang w:val="en-US" w:eastAsia="zh-CN" w:bidi="ar"/>
              </w:rPr>
              <w:t>0.4</w:t>
            </w:r>
            <w:r>
              <w:rPr>
                <w:rFonts w:hint="eastAsia" w:ascii="仿宋" w:hAnsi="仿宋" w:eastAsia="仿宋" w:cs="仿宋"/>
                <w:color w:val="auto"/>
                <w:sz w:val="21"/>
                <w:szCs w:val="21"/>
                <w:highlight w:val="none"/>
                <w:lang w:val="zh-CN" w:bidi="ar"/>
              </w:rPr>
              <w:t>分。</w:t>
            </w:r>
          </w:p>
          <w:p w14:paraId="260B3062">
            <w:pPr>
              <w:keepNext w:val="0"/>
              <w:keepLines w:val="0"/>
              <w:pageBreakBefore w:val="0"/>
              <w:widowControl/>
              <w:spacing w:line="240" w:lineRule="exact"/>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④</w:t>
            </w:r>
            <w:r>
              <w:rPr>
                <w:rFonts w:hint="eastAsia" w:ascii="仿宋" w:hAnsi="仿宋" w:eastAsia="仿宋" w:cs="仿宋"/>
                <w:color w:val="auto"/>
                <w:sz w:val="21"/>
                <w:szCs w:val="21"/>
                <w:highlight w:val="none"/>
              </w:rPr>
              <w:t>未提供方案或提供的方案不符合项目要求的得0分。</w:t>
            </w:r>
          </w:p>
        </w:tc>
      </w:tr>
      <w:tr w14:paraId="3FAEA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575" w:type="dxa"/>
            <w:vMerge w:val="restart"/>
            <w:tcBorders>
              <w:left w:val="single" w:color="auto" w:sz="4" w:space="0"/>
              <w:right w:val="single" w:color="auto" w:sz="4" w:space="0"/>
            </w:tcBorders>
            <w:noWrap w:val="0"/>
            <w:vAlign w:val="center"/>
          </w:tcPr>
          <w:p w14:paraId="3408B35F">
            <w:pPr>
              <w:keepNext w:val="0"/>
              <w:keepLines w:val="0"/>
              <w:pageBreakBefore w:val="0"/>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w:t>
            </w:r>
          </w:p>
        </w:tc>
        <w:tc>
          <w:tcPr>
            <w:tcW w:w="1118" w:type="dxa"/>
            <w:vMerge w:val="restart"/>
            <w:tcBorders>
              <w:left w:val="single" w:color="auto" w:sz="4" w:space="0"/>
              <w:right w:val="single" w:color="auto" w:sz="4" w:space="0"/>
            </w:tcBorders>
            <w:noWrap w:val="0"/>
            <w:vAlign w:val="center"/>
          </w:tcPr>
          <w:p w14:paraId="7E542C2F">
            <w:pPr>
              <w:keepNext w:val="0"/>
              <w:keepLines w:val="0"/>
              <w:pageBreakBefore w:val="0"/>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商务部分</w:t>
            </w:r>
          </w:p>
        </w:tc>
        <w:tc>
          <w:tcPr>
            <w:tcW w:w="1352" w:type="dxa"/>
            <w:tcBorders>
              <w:top w:val="single" w:color="auto" w:sz="4" w:space="0"/>
              <w:left w:val="single" w:color="auto" w:sz="4" w:space="0"/>
              <w:right w:val="single" w:color="auto" w:sz="4" w:space="0"/>
            </w:tcBorders>
            <w:shd w:val="clear" w:color="auto" w:fill="auto"/>
            <w:noWrap w:val="0"/>
            <w:vAlign w:val="center"/>
          </w:tcPr>
          <w:p w14:paraId="5765714F">
            <w:pPr>
              <w:keepNext w:val="0"/>
              <w:keepLines w:val="0"/>
              <w:pageBreakBefore w:val="0"/>
              <w:spacing w:line="240" w:lineRule="exact"/>
              <w:jc w:val="center"/>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业绩</w:t>
            </w:r>
          </w:p>
        </w:tc>
        <w:tc>
          <w:tcPr>
            <w:tcW w:w="818" w:type="dxa"/>
            <w:tcBorders>
              <w:top w:val="single" w:color="auto" w:sz="4" w:space="0"/>
              <w:left w:val="single" w:color="auto" w:sz="4" w:space="0"/>
              <w:right w:val="single" w:color="auto" w:sz="4" w:space="0"/>
            </w:tcBorders>
            <w:shd w:val="clear" w:color="auto" w:fill="auto"/>
            <w:noWrap w:val="0"/>
            <w:vAlign w:val="center"/>
          </w:tcPr>
          <w:p w14:paraId="46E825D5">
            <w:pPr>
              <w:keepNext w:val="0"/>
              <w:keepLines w:val="0"/>
              <w:pageBreakBefore w:val="0"/>
              <w:spacing w:line="240" w:lineRule="exact"/>
              <w:jc w:val="center"/>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2</w:t>
            </w:r>
          </w:p>
        </w:tc>
        <w:tc>
          <w:tcPr>
            <w:tcW w:w="5697" w:type="dxa"/>
            <w:tcBorders>
              <w:top w:val="single" w:color="auto" w:sz="4" w:space="0"/>
              <w:left w:val="single" w:color="auto" w:sz="4" w:space="0"/>
              <w:right w:val="single" w:color="auto" w:sz="4" w:space="0"/>
            </w:tcBorders>
            <w:shd w:val="clear" w:color="auto" w:fill="auto"/>
            <w:noWrap w:val="0"/>
            <w:vAlign w:val="center"/>
          </w:tcPr>
          <w:p w14:paraId="4831480E">
            <w:pPr>
              <w:keepNext w:val="0"/>
              <w:keepLines w:val="0"/>
              <w:pageBreakBefore w:val="0"/>
              <w:spacing w:line="240" w:lineRule="exact"/>
              <w:ind w:firstLine="42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投标人自2022年1月1日以来</w:t>
            </w:r>
            <w:r>
              <w:rPr>
                <w:rFonts w:hint="eastAsia" w:ascii="仿宋" w:hAnsi="仿宋" w:eastAsia="仿宋" w:cs="仿宋"/>
                <w:b w:val="0"/>
                <w:bCs w:val="0"/>
                <w:color w:val="auto"/>
                <w:sz w:val="21"/>
                <w:szCs w:val="21"/>
                <w:highlight w:val="none"/>
              </w:rPr>
              <w:t>（以合同签订日期为准）投标人承担过类似项目</w:t>
            </w:r>
            <w:r>
              <w:rPr>
                <w:rFonts w:hint="eastAsia" w:ascii="仿宋" w:hAnsi="仿宋" w:eastAsia="仿宋" w:cs="仿宋"/>
                <w:b w:val="0"/>
                <w:bCs w:val="0"/>
                <w:color w:val="auto"/>
                <w:sz w:val="21"/>
                <w:szCs w:val="21"/>
                <w:highlight w:val="none"/>
                <w:lang w:eastAsia="zh-CN"/>
              </w:rPr>
              <w:t>的</w:t>
            </w:r>
            <w:r>
              <w:rPr>
                <w:rFonts w:hint="eastAsia" w:ascii="仿宋" w:hAnsi="仿宋" w:eastAsia="仿宋" w:cs="仿宋"/>
                <w:b w:val="0"/>
                <w:bCs w:val="0"/>
                <w:color w:val="auto"/>
                <w:sz w:val="21"/>
                <w:szCs w:val="21"/>
                <w:highlight w:val="none"/>
                <w:lang w:val="en-US" w:eastAsia="zh-CN"/>
              </w:rPr>
              <w:t>成功案例</w:t>
            </w:r>
            <w:r>
              <w:rPr>
                <w:rFonts w:hint="eastAsia" w:ascii="仿宋" w:hAnsi="仿宋" w:eastAsia="仿宋" w:cs="仿宋"/>
                <w:b w:val="0"/>
                <w:bCs w:val="0"/>
                <w:color w:val="auto"/>
                <w:sz w:val="21"/>
                <w:szCs w:val="21"/>
                <w:highlight w:val="none"/>
                <w:lang w:eastAsia="zh-CN"/>
              </w:rPr>
              <w:t>，每提供1份有效</w:t>
            </w:r>
            <w:r>
              <w:rPr>
                <w:rFonts w:hint="eastAsia" w:ascii="仿宋" w:hAnsi="仿宋" w:eastAsia="仿宋" w:cs="仿宋"/>
                <w:b w:val="0"/>
                <w:bCs w:val="0"/>
                <w:color w:val="auto"/>
                <w:sz w:val="21"/>
                <w:szCs w:val="21"/>
                <w:highlight w:val="none"/>
                <w:lang w:val="en-US" w:eastAsia="zh-CN"/>
              </w:rPr>
              <w:t>业绩</w:t>
            </w:r>
            <w:r>
              <w:rPr>
                <w:rFonts w:hint="eastAsia" w:ascii="仿宋" w:hAnsi="仿宋" w:eastAsia="仿宋" w:cs="仿宋"/>
                <w:b w:val="0"/>
                <w:bCs w:val="0"/>
                <w:color w:val="auto"/>
                <w:sz w:val="21"/>
                <w:szCs w:val="21"/>
                <w:highlight w:val="none"/>
                <w:lang w:eastAsia="zh-CN"/>
              </w:rPr>
              <w:t>得</w:t>
            </w:r>
            <w:r>
              <w:rPr>
                <w:rFonts w:hint="eastAsia" w:ascii="仿宋" w:hAnsi="仿宋" w:eastAsia="仿宋" w:cs="仿宋"/>
                <w:b w:val="0"/>
                <w:bCs w:val="0"/>
                <w:color w:val="auto"/>
                <w:sz w:val="21"/>
                <w:szCs w:val="21"/>
                <w:highlight w:val="none"/>
                <w:lang w:val="en-US" w:eastAsia="zh-CN"/>
              </w:rPr>
              <w:t>1</w:t>
            </w:r>
            <w:r>
              <w:rPr>
                <w:rFonts w:hint="eastAsia" w:ascii="仿宋" w:hAnsi="仿宋" w:eastAsia="仿宋" w:cs="仿宋"/>
                <w:b w:val="0"/>
                <w:bCs w:val="0"/>
                <w:color w:val="auto"/>
                <w:sz w:val="21"/>
                <w:szCs w:val="21"/>
                <w:highlight w:val="none"/>
                <w:lang w:eastAsia="zh-CN"/>
              </w:rPr>
              <w:t>分，本项最多得</w:t>
            </w:r>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lang w:eastAsia="zh-CN"/>
              </w:rPr>
              <w:t>分。</w:t>
            </w:r>
          </w:p>
          <w:p w14:paraId="211FE930">
            <w:pPr>
              <w:keepNext w:val="0"/>
              <w:keepLines w:val="0"/>
              <w:pageBreakBefore w:val="0"/>
              <w:spacing w:line="240" w:lineRule="exact"/>
              <w:ind w:firstLine="42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注：①本项需自行拟制业绩汇总表；</w:t>
            </w:r>
          </w:p>
          <w:p w14:paraId="71075EE2">
            <w:pPr>
              <w:keepNext w:val="0"/>
              <w:keepLines w:val="0"/>
              <w:pageBreakBefore w:val="0"/>
              <w:spacing w:line="240" w:lineRule="exact"/>
              <w:ind w:firstLine="840"/>
              <w:jc w:val="left"/>
              <w:rPr>
                <w:rFonts w:hint="eastAsia" w:ascii="仿宋" w:hAnsi="仿宋" w:eastAsia="仿宋" w:cs="仿宋"/>
                <w:color w:val="auto"/>
                <w:sz w:val="21"/>
                <w:szCs w:val="21"/>
                <w:highlight w:val="none"/>
                <w:lang w:val="en-US" w:eastAsia="zh-CN" w:bidi="ar-SA"/>
              </w:rPr>
            </w:pPr>
            <w:r>
              <w:rPr>
                <w:rFonts w:hint="eastAsia" w:ascii="仿宋" w:hAnsi="仿宋" w:eastAsia="仿宋" w:cs="仿宋"/>
                <w:b w:val="0"/>
                <w:bCs w:val="0"/>
                <w:color w:val="auto"/>
                <w:sz w:val="21"/>
                <w:szCs w:val="21"/>
                <w:highlight w:val="none"/>
              </w:rPr>
              <w:t>②投标文件中须同时提供合同及</w:t>
            </w:r>
            <w:r>
              <w:rPr>
                <w:rFonts w:hint="eastAsia" w:ascii="仿宋" w:hAnsi="仿宋" w:eastAsia="仿宋" w:cs="仿宋"/>
                <w:b w:val="0"/>
                <w:bCs w:val="0"/>
                <w:color w:val="auto"/>
                <w:sz w:val="21"/>
                <w:szCs w:val="21"/>
                <w:highlight w:val="none"/>
                <w:lang w:val="en-US" w:eastAsia="zh-CN"/>
              </w:rPr>
              <w:t>相关</w:t>
            </w:r>
            <w:r>
              <w:rPr>
                <w:rFonts w:hint="eastAsia" w:ascii="仿宋" w:hAnsi="仿宋" w:eastAsia="仿宋" w:cs="仿宋"/>
                <w:b w:val="0"/>
                <w:bCs w:val="0"/>
                <w:color w:val="auto"/>
                <w:sz w:val="21"/>
                <w:szCs w:val="21"/>
                <w:highlight w:val="none"/>
              </w:rPr>
              <w:t>验收证明</w:t>
            </w:r>
            <w:r>
              <w:rPr>
                <w:rFonts w:hint="eastAsia" w:ascii="仿宋" w:hAnsi="仿宋" w:eastAsia="仿宋" w:cs="仿宋"/>
                <w:b w:val="0"/>
                <w:bCs w:val="0"/>
                <w:color w:val="auto"/>
                <w:sz w:val="21"/>
                <w:szCs w:val="21"/>
                <w:highlight w:val="none"/>
                <w:lang w:val="en-US" w:eastAsia="zh-CN"/>
              </w:rPr>
              <w:t>扫描件</w:t>
            </w:r>
            <w:r>
              <w:rPr>
                <w:rFonts w:hint="eastAsia" w:ascii="仿宋" w:hAnsi="仿宋" w:eastAsia="仿宋" w:cs="仿宋"/>
                <w:b w:val="0"/>
                <w:bCs w:val="0"/>
                <w:color w:val="auto"/>
                <w:sz w:val="21"/>
                <w:szCs w:val="21"/>
                <w:highlight w:val="none"/>
              </w:rPr>
              <w:t>，否则不得分。</w:t>
            </w:r>
          </w:p>
        </w:tc>
      </w:tr>
      <w:tr w14:paraId="0867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575" w:type="dxa"/>
            <w:vMerge w:val="continue"/>
            <w:tcBorders>
              <w:left w:val="single" w:color="auto" w:sz="4" w:space="0"/>
              <w:right w:val="single" w:color="auto" w:sz="4" w:space="0"/>
            </w:tcBorders>
            <w:noWrap w:val="0"/>
            <w:vAlign w:val="center"/>
          </w:tcPr>
          <w:p w14:paraId="47FC548F">
            <w:pPr>
              <w:keepNext w:val="0"/>
              <w:keepLines w:val="0"/>
              <w:pageBreakBefore w:val="0"/>
              <w:spacing w:line="240" w:lineRule="exact"/>
              <w:jc w:val="center"/>
              <w:rPr>
                <w:rFonts w:hint="eastAsia" w:ascii="仿宋" w:hAnsi="仿宋" w:eastAsia="仿宋" w:cs="仿宋"/>
                <w:color w:val="auto"/>
                <w:sz w:val="21"/>
                <w:szCs w:val="21"/>
                <w:highlight w:val="none"/>
              </w:rPr>
            </w:pPr>
          </w:p>
        </w:tc>
        <w:tc>
          <w:tcPr>
            <w:tcW w:w="1118" w:type="dxa"/>
            <w:vMerge w:val="continue"/>
            <w:tcBorders>
              <w:left w:val="single" w:color="auto" w:sz="4" w:space="0"/>
              <w:right w:val="single" w:color="auto" w:sz="4" w:space="0"/>
            </w:tcBorders>
            <w:noWrap w:val="0"/>
            <w:vAlign w:val="center"/>
          </w:tcPr>
          <w:p w14:paraId="782EB4C9">
            <w:pPr>
              <w:keepNext w:val="0"/>
              <w:keepLines w:val="0"/>
              <w:pageBreakBefore w:val="0"/>
              <w:spacing w:line="240" w:lineRule="exact"/>
              <w:jc w:val="center"/>
              <w:rPr>
                <w:rFonts w:hint="eastAsia" w:ascii="仿宋" w:hAnsi="仿宋" w:eastAsia="仿宋" w:cs="仿宋"/>
                <w:color w:val="auto"/>
                <w:sz w:val="21"/>
                <w:szCs w:val="21"/>
                <w:highlight w:val="none"/>
              </w:rPr>
            </w:pPr>
          </w:p>
        </w:tc>
        <w:tc>
          <w:tcPr>
            <w:tcW w:w="1352" w:type="dxa"/>
            <w:tcBorders>
              <w:top w:val="single" w:color="auto" w:sz="4" w:space="0"/>
              <w:left w:val="single" w:color="auto" w:sz="4" w:space="0"/>
              <w:right w:val="single" w:color="auto" w:sz="4" w:space="0"/>
            </w:tcBorders>
            <w:shd w:val="clear" w:color="auto" w:fill="auto"/>
            <w:noWrap w:val="0"/>
            <w:vAlign w:val="center"/>
          </w:tcPr>
          <w:p w14:paraId="685CC996">
            <w:pPr>
              <w:keepNext w:val="0"/>
              <w:keepLines w:val="0"/>
              <w:pageBreakBefore w:val="0"/>
              <w:spacing w:line="240" w:lineRule="exact"/>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产品实力</w:t>
            </w:r>
          </w:p>
        </w:tc>
        <w:tc>
          <w:tcPr>
            <w:tcW w:w="818" w:type="dxa"/>
            <w:tcBorders>
              <w:top w:val="single" w:color="auto" w:sz="4" w:space="0"/>
              <w:left w:val="single" w:color="auto" w:sz="4" w:space="0"/>
              <w:right w:val="single" w:color="auto" w:sz="4" w:space="0"/>
            </w:tcBorders>
            <w:shd w:val="clear" w:color="auto" w:fill="auto"/>
            <w:noWrap w:val="0"/>
            <w:vAlign w:val="center"/>
          </w:tcPr>
          <w:p w14:paraId="484334C8">
            <w:pPr>
              <w:keepNext w:val="0"/>
              <w:keepLines w:val="0"/>
              <w:pageBreakBefore w:val="0"/>
              <w:spacing w:line="240" w:lineRule="exact"/>
              <w:jc w:val="center"/>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w:t>
            </w:r>
          </w:p>
        </w:tc>
        <w:tc>
          <w:tcPr>
            <w:tcW w:w="5697" w:type="dxa"/>
            <w:tcBorders>
              <w:top w:val="single" w:color="auto" w:sz="4" w:space="0"/>
              <w:left w:val="single" w:color="auto" w:sz="4" w:space="0"/>
              <w:right w:val="single" w:color="auto" w:sz="4" w:space="0"/>
            </w:tcBorders>
            <w:shd w:val="clear" w:color="auto" w:fill="auto"/>
            <w:noWrap w:val="0"/>
            <w:vAlign w:val="center"/>
          </w:tcPr>
          <w:p w14:paraId="58BC79DA">
            <w:pPr>
              <w:keepNext w:val="0"/>
              <w:keepLines w:val="0"/>
              <w:pageBreakBefore w:val="0"/>
              <w:spacing w:line="240" w:lineRule="exact"/>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所投产品中具有小学科学、融合学科类VR教学资源相关的软件著作权，有1个得0.5分，最多得1分。</w:t>
            </w:r>
          </w:p>
          <w:p w14:paraId="79877BAE">
            <w:pPr>
              <w:keepNext w:val="0"/>
              <w:keepLines w:val="0"/>
              <w:pageBreakBefore w:val="0"/>
              <w:spacing w:line="240" w:lineRule="exact"/>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注：1.所登记注册的软件名称表述可略有不同，但内容必须相关，含相同关键字段的软件著作权不重复计数。</w:t>
            </w:r>
          </w:p>
          <w:p w14:paraId="7A7C1FF7">
            <w:pPr>
              <w:keepNext w:val="0"/>
              <w:keepLines w:val="0"/>
              <w:pageBreakBefore w:val="0"/>
              <w:spacing w:line="240" w:lineRule="exact"/>
              <w:ind w:firstLine="420"/>
              <w:jc w:val="left"/>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2.需提供相关有效证书扫描件或相关证明材料扫描件，在合同签订前由成交供应商提供相关资料原件核查。</w:t>
            </w:r>
          </w:p>
        </w:tc>
      </w:tr>
      <w:tr w14:paraId="61859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2" w:hRule="atLeast"/>
          <w:jc w:val="center"/>
        </w:trPr>
        <w:tc>
          <w:tcPr>
            <w:tcW w:w="575" w:type="dxa"/>
            <w:vMerge w:val="continue"/>
            <w:tcBorders>
              <w:left w:val="single" w:color="auto" w:sz="4" w:space="0"/>
              <w:right w:val="single" w:color="auto" w:sz="4" w:space="0"/>
            </w:tcBorders>
            <w:noWrap w:val="0"/>
            <w:vAlign w:val="center"/>
          </w:tcPr>
          <w:p w14:paraId="59B59088">
            <w:pPr>
              <w:keepNext w:val="0"/>
              <w:keepLines w:val="0"/>
              <w:pageBreakBefore w:val="0"/>
              <w:spacing w:line="240" w:lineRule="exact"/>
              <w:jc w:val="center"/>
              <w:rPr>
                <w:rFonts w:hint="eastAsia" w:ascii="仿宋" w:hAnsi="仿宋" w:eastAsia="仿宋" w:cs="仿宋"/>
                <w:color w:val="auto"/>
                <w:sz w:val="21"/>
                <w:szCs w:val="21"/>
                <w:highlight w:val="none"/>
              </w:rPr>
            </w:pPr>
          </w:p>
        </w:tc>
        <w:tc>
          <w:tcPr>
            <w:tcW w:w="1118" w:type="dxa"/>
            <w:vMerge w:val="continue"/>
            <w:tcBorders>
              <w:left w:val="single" w:color="auto" w:sz="4" w:space="0"/>
              <w:right w:val="single" w:color="auto" w:sz="4" w:space="0"/>
            </w:tcBorders>
            <w:noWrap w:val="0"/>
            <w:vAlign w:val="center"/>
          </w:tcPr>
          <w:p w14:paraId="3F02E3C6">
            <w:pPr>
              <w:keepNext w:val="0"/>
              <w:keepLines w:val="0"/>
              <w:pageBreakBefore w:val="0"/>
              <w:spacing w:line="240" w:lineRule="exact"/>
              <w:jc w:val="center"/>
              <w:rPr>
                <w:rFonts w:hint="eastAsia" w:ascii="仿宋" w:hAnsi="仿宋" w:eastAsia="仿宋" w:cs="仿宋"/>
                <w:color w:val="auto"/>
                <w:sz w:val="21"/>
                <w:szCs w:val="21"/>
                <w:highlight w:val="none"/>
              </w:rPr>
            </w:pPr>
          </w:p>
        </w:tc>
        <w:tc>
          <w:tcPr>
            <w:tcW w:w="1352" w:type="dxa"/>
            <w:tcBorders>
              <w:top w:val="single" w:color="auto" w:sz="4" w:space="0"/>
              <w:left w:val="single" w:color="auto" w:sz="4" w:space="0"/>
              <w:right w:val="single" w:color="auto" w:sz="4" w:space="0"/>
            </w:tcBorders>
            <w:shd w:val="clear" w:color="auto" w:fill="auto"/>
            <w:noWrap w:val="0"/>
            <w:vAlign w:val="center"/>
          </w:tcPr>
          <w:p w14:paraId="0E8BDFFB">
            <w:pPr>
              <w:keepNext w:val="0"/>
              <w:keepLines w:val="0"/>
              <w:pageBreakBefore w:val="0"/>
              <w:spacing w:line="240" w:lineRule="exact"/>
              <w:jc w:val="center"/>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color w:val="auto"/>
                <w:sz w:val="21"/>
                <w:szCs w:val="21"/>
                <w:highlight w:val="none"/>
              </w:rPr>
              <w:t>节能环保</w:t>
            </w:r>
          </w:p>
        </w:tc>
        <w:tc>
          <w:tcPr>
            <w:tcW w:w="818" w:type="dxa"/>
            <w:tcBorders>
              <w:top w:val="single" w:color="auto" w:sz="4" w:space="0"/>
              <w:left w:val="single" w:color="auto" w:sz="4" w:space="0"/>
              <w:right w:val="single" w:color="auto" w:sz="4" w:space="0"/>
            </w:tcBorders>
            <w:shd w:val="clear" w:color="auto" w:fill="auto"/>
            <w:noWrap w:val="0"/>
            <w:vAlign w:val="center"/>
          </w:tcPr>
          <w:p w14:paraId="38E9F10A">
            <w:pPr>
              <w:keepNext w:val="0"/>
              <w:keepLines w:val="0"/>
              <w:pageBreakBefore w:val="0"/>
              <w:spacing w:line="240" w:lineRule="exact"/>
              <w:jc w:val="center"/>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2</w:t>
            </w:r>
          </w:p>
        </w:tc>
        <w:tc>
          <w:tcPr>
            <w:tcW w:w="5697" w:type="dxa"/>
            <w:tcBorders>
              <w:top w:val="single" w:color="auto" w:sz="4" w:space="0"/>
              <w:left w:val="single" w:color="auto" w:sz="4" w:space="0"/>
              <w:right w:val="single" w:color="auto" w:sz="4" w:space="0"/>
            </w:tcBorders>
            <w:shd w:val="clear" w:color="auto" w:fill="auto"/>
            <w:noWrap w:val="0"/>
            <w:vAlign w:val="center"/>
          </w:tcPr>
          <w:p w14:paraId="421631A7">
            <w:pPr>
              <w:keepNext w:val="0"/>
              <w:keepLines w:val="0"/>
              <w:pageBreakBefore w:val="0"/>
              <w:spacing w:line="240" w:lineRule="exact"/>
              <w:ind w:firstLine="42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1、投标产品属于财政部、国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p>
          <w:p w14:paraId="325D7FD0">
            <w:pPr>
              <w:keepNext w:val="0"/>
              <w:keepLines w:val="0"/>
              <w:pageBreakBefore w:val="0"/>
              <w:spacing w:line="240" w:lineRule="exact"/>
              <w:ind w:firstLine="42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2、投标产品属于财政部、生态环境部公布的“环境标志产品品目清单”范围内的，投标人提供国家确定的认证机构出具的、处于有效期内的该环保产品认证证书原件彩色扫描件的，有1个得0.5分，最多得1分。</w:t>
            </w:r>
          </w:p>
          <w:p w14:paraId="791EDC69">
            <w:pPr>
              <w:keepNext w:val="0"/>
              <w:keepLines w:val="0"/>
              <w:pageBreakBefore w:val="0"/>
              <w:spacing w:line="240" w:lineRule="exact"/>
              <w:ind w:firstLine="420"/>
              <w:jc w:val="left"/>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注：采购文件中已明确需要提供认证证书的不参与打分。</w:t>
            </w:r>
          </w:p>
        </w:tc>
      </w:tr>
    </w:tbl>
    <w:p w14:paraId="2205A930">
      <w:pPr>
        <w:pStyle w:val="33"/>
        <w:keepNext/>
        <w:spacing w:beforeAutospacing="0" w:afterAutospacing="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9811CB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6E0D2218">
      <w:pPr>
        <w:pStyle w:val="33"/>
        <w:keepNext/>
        <w:spacing w:beforeAutospacing="0" w:afterAutospacing="0"/>
        <w:jc w:val="center"/>
        <w:rPr>
          <w:rFonts w:hint="eastAsia" w:ascii="黑体" w:hAnsi="宋体" w:eastAsia="黑体" w:cs="黑体"/>
          <w:color w:val="auto"/>
          <w:sz w:val="44"/>
          <w:szCs w:val="44"/>
          <w:highlight w:val="none"/>
        </w:rPr>
      </w:pPr>
    </w:p>
    <w:p w14:paraId="2DBBCD70">
      <w:pPr>
        <w:pStyle w:val="33"/>
        <w:keepNext/>
        <w:spacing w:beforeAutospacing="0" w:afterAutospacing="0"/>
        <w:jc w:val="center"/>
        <w:rPr>
          <w:rFonts w:hint="eastAsia" w:ascii="黑体" w:hAnsi="宋体" w:eastAsia="黑体" w:cs="黑体"/>
          <w:color w:val="auto"/>
          <w:sz w:val="44"/>
          <w:szCs w:val="44"/>
          <w:highlight w:val="none"/>
        </w:rPr>
      </w:pPr>
    </w:p>
    <w:p w14:paraId="270C302E">
      <w:pPr>
        <w:pStyle w:val="33"/>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28654210">
      <w:pPr>
        <w:pStyle w:val="33"/>
        <w:spacing w:beforeAutospacing="0" w:afterAutospacing="0"/>
        <w:jc w:val="center"/>
        <w:rPr>
          <w:rFonts w:hint="eastAsia" w:ascii="宋体" w:hAnsi="宋体" w:eastAsia="宋体" w:cs="宋体"/>
          <w:b/>
          <w:color w:val="auto"/>
          <w:sz w:val="72"/>
          <w:szCs w:val="72"/>
          <w:highlight w:val="none"/>
        </w:rPr>
      </w:pPr>
      <w:bookmarkStart w:id="176" w:name="_Toc120614282"/>
      <w:bookmarkEnd w:id="176"/>
      <w:bookmarkStart w:id="177" w:name="_Toc49090576"/>
      <w:bookmarkEnd w:id="177"/>
      <w:bookmarkStart w:id="178" w:name="_Hlt26955039"/>
      <w:bookmarkStart w:id="179" w:name="_Toc26554094"/>
      <w:bookmarkStart w:id="180" w:name="_Hlt26671244"/>
    </w:p>
    <w:p w14:paraId="5F8C4C34">
      <w:pPr>
        <w:pStyle w:val="33"/>
        <w:spacing w:beforeAutospacing="0" w:afterAutospacing="0"/>
        <w:jc w:val="center"/>
        <w:rPr>
          <w:rFonts w:hint="eastAsia" w:ascii="宋体" w:hAnsi="宋体" w:eastAsia="宋体" w:cs="宋体"/>
          <w:b/>
          <w:color w:val="auto"/>
          <w:sz w:val="72"/>
          <w:szCs w:val="72"/>
          <w:highlight w:val="none"/>
        </w:rPr>
      </w:pPr>
    </w:p>
    <w:p w14:paraId="1E099CD3">
      <w:pPr>
        <w:pStyle w:val="33"/>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7D4F12CB">
      <w:pPr>
        <w:pStyle w:val="33"/>
        <w:spacing w:beforeAutospacing="0" w:afterAutospacing="0"/>
        <w:jc w:val="center"/>
        <w:rPr>
          <w:color w:val="auto"/>
          <w:highlight w:val="none"/>
        </w:rPr>
      </w:pPr>
      <w:r>
        <w:rPr>
          <w:color w:val="auto"/>
          <w:highlight w:val="none"/>
        </w:rPr>
        <w:t> </w:t>
      </w:r>
    </w:p>
    <w:p w14:paraId="255CB4BF">
      <w:pPr>
        <w:pStyle w:val="33"/>
        <w:spacing w:beforeAutospacing="0" w:afterAutospacing="0"/>
        <w:jc w:val="center"/>
        <w:rPr>
          <w:color w:val="auto"/>
          <w:highlight w:val="none"/>
        </w:rPr>
      </w:pPr>
      <w:r>
        <w:rPr>
          <w:color w:val="auto"/>
          <w:highlight w:val="none"/>
        </w:rPr>
        <w:t> </w:t>
      </w:r>
    </w:p>
    <w:p w14:paraId="500008CE">
      <w:pPr>
        <w:pStyle w:val="33"/>
        <w:spacing w:beforeAutospacing="0" w:afterAutospacing="0"/>
        <w:jc w:val="center"/>
        <w:rPr>
          <w:color w:val="auto"/>
          <w:highlight w:val="none"/>
        </w:rPr>
      </w:pPr>
      <w:r>
        <w:rPr>
          <w:color w:val="auto"/>
          <w:highlight w:val="none"/>
        </w:rPr>
        <w:t> </w:t>
      </w:r>
    </w:p>
    <w:p w14:paraId="5193A775">
      <w:pPr>
        <w:pStyle w:val="33"/>
        <w:spacing w:beforeAutospacing="0" w:afterAutospacing="0"/>
        <w:jc w:val="center"/>
        <w:rPr>
          <w:color w:val="auto"/>
          <w:highlight w:val="none"/>
        </w:rPr>
      </w:pPr>
    </w:p>
    <w:p w14:paraId="26623492">
      <w:pPr>
        <w:pStyle w:val="33"/>
        <w:spacing w:beforeAutospacing="0" w:afterAutospacing="0"/>
        <w:jc w:val="center"/>
        <w:rPr>
          <w:color w:val="auto"/>
          <w:highlight w:val="none"/>
        </w:rPr>
      </w:pPr>
    </w:p>
    <w:p w14:paraId="14D53036">
      <w:pPr>
        <w:pStyle w:val="33"/>
        <w:spacing w:beforeAutospacing="0" w:afterAutospacing="0"/>
        <w:jc w:val="center"/>
        <w:rPr>
          <w:color w:val="auto"/>
          <w:highlight w:val="none"/>
        </w:rPr>
      </w:pPr>
    </w:p>
    <w:p w14:paraId="2EEBE12A">
      <w:pPr>
        <w:pStyle w:val="33"/>
        <w:spacing w:beforeAutospacing="0" w:afterAutospacing="0"/>
        <w:jc w:val="center"/>
        <w:rPr>
          <w:color w:val="auto"/>
          <w:highlight w:val="none"/>
        </w:rPr>
      </w:pPr>
    </w:p>
    <w:p w14:paraId="4ADDDBD4">
      <w:pPr>
        <w:pStyle w:val="33"/>
        <w:spacing w:beforeAutospacing="0" w:afterAutospacing="0"/>
        <w:jc w:val="center"/>
        <w:rPr>
          <w:color w:val="auto"/>
          <w:highlight w:val="none"/>
        </w:rPr>
      </w:pPr>
    </w:p>
    <w:p w14:paraId="241F60B2">
      <w:pPr>
        <w:pStyle w:val="33"/>
        <w:spacing w:beforeAutospacing="0" w:afterAutospacing="0"/>
        <w:jc w:val="center"/>
        <w:rPr>
          <w:color w:val="auto"/>
          <w:highlight w:val="none"/>
        </w:rPr>
      </w:pPr>
    </w:p>
    <w:p w14:paraId="4F6784E2">
      <w:pPr>
        <w:pStyle w:val="33"/>
        <w:spacing w:beforeAutospacing="0" w:afterAutospacing="0"/>
        <w:jc w:val="center"/>
        <w:rPr>
          <w:color w:val="auto"/>
          <w:highlight w:val="none"/>
        </w:rPr>
      </w:pPr>
    </w:p>
    <w:p w14:paraId="34E55657">
      <w:pPr>
        <w:pStyle w:val="33"/>
        <w:spacing w:beforeAutospacing="0" w:afterAutospacing="0"/>
        <w:jc w:val="center"/>
        <w:rPr>
          <w:color w:val="auto"/>
          <w:highlight w:val="none"/>
        </w:rPr>
      </w:pPr>
    </w:p>
    <w:p w14:paraId="2D544AF8">
      <w:pPr>
        <w:pStyle w:val="33"/>
        <w:spacing w:beforeAutospacing="0" w:afterAutospacing="0"/>
        <w:jc w:val="center"/>
        <w:rPr>
          <w:color w:val="auto"/>
          <w:highlight w:val="none"/>
        </w:rPr>
      </w:pPr>
    </w:p>
    <w:p w14:paraId="2C2BD69E">
      <w:pPr>
        <w:pStyle w:val="33"/>
        <w:spacing w:beforeAutospacing="0" w:afterAutospacing="0"/>
        <w:jc w:val="center"/>
        <w:rPr>
          <w:color w:val="auto"/>
          <w:highlight w:val="none"/>
        </w:rPr>
      </w:pPr>
    </w:p>
    <w:p w14:paraId="74F8F76B">
      <w:pPr>
        <w:pStyle w:val="33"/>
        <w:spacing w:beforeAutospacing="0" w:afterAutospacing="0"/>
        <w:jc w:val="center"/>
        <w:rPr>
          <w:color w:val="auto"/>
          <w:highlight w:val="none"/>
        </w:rPr>
      </w:pPr>
    </w:p>
    <w:p w14:paraId="2085C8BC">
      <w:pPr>
        <w:pStyle w:val="33"/>
        <w:spacing w:beforeAutospacing="0" w:afterAutospacing="0"/>
        <w:jc w:val="center"/>
        <w:rPr>
          <w:color w:val="auto"/>
          <w:highlight w:val="none"/>
        </w:rPr>
      </w:pPr>
    </w:p>
    <w:p w14:paraId="7C0F167A">
      <w:pPr>
        <w:pStyle w:val="33"/>
        <w:spacing w:beforeAutospacing="0" w:afterAutospacing="0"/>
        <w:jc w:val="center"/>
        <w:rPr>
          <w:color w:val="auto"/>
          <w:highlight w:val="none"/>
        </w:rPr>
      </w:pPr>
    </w:p>
    <w:p w14:paraId="1B129A60">
      <w:pPr>
        <w:pStyle w:val="33"/>
        <w:spacing w:beforeAutospacing="0" w:afterAutospacing="0"/>
        <w:jc w:val="center"/>
        <w:rPr>
          <w:color w:val="auto"/>
          <w:highlight w:val="none"/>
        </w:rPr>
      </w:pPr>
    </w:p>
    <w:p w14:paraId="16A699DC">
      <w:pPr>
        <w:pStyle w:val="33"/>
        <w:spacing w:beforeAutospacing="0" w:afterAutospacing="0"/>
        <w:jc w:val="center"/>
        <w:rPr>
          <w:color w:val="auto"/>
          <w:highlight w:val="none"/>
        </w:rPr>
      </w:pPr>
      <w:r>
        <w:rPr>
          <w:color w:val="auto"/>
          <w:highlight w:val="none"/>
        </w:rPr>
        <w:t> </w:t>
      </w:r>
    </w:p>
    <w:p w14:paraId="5B998409">
      <w:pPr>
        <w:pStyle w:val="33"/>
        <w:spacing w:beforeAutospacing="0" w:afterAutospacing="0"/>
        <w:jc w:val="center"/>
        <w:rPr>
          <w:color w:val="auto"/>
          <w:highlight w:val="none"/>
        </w:rPr>
      </w:pPr>
      <w:r>
        <w:rPr>
          <w:color w:val="auto"/>
          <w:highlight w:val="none"/>
        </w:rPr>
        <w:t> </w:t>
      </w:r>
    </w:p>
    <w:p w14:paraId="68DC2898">
      <w:pPr>
        <w:pStyle w:val="3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p>
    <w:p w14:paraId="03C64F6D">
      <w:pPr>
        <w:pStyle w:val="3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p>
    <w:p w14:paraId="11F3D7F1">
      <w:pPr>
        <w:pStyle w:val="33"/>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（加盖CA电子公章）</w:t>
      </w:r>
    </w:p>
    <w:p w14:paraId="3B3E31F5">
      <w:pPr>
        <w:pStyle w:val="33"/>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26739425">
      <w:pPr>
        <w:pStyle w:val="33"/>
        <w:spacing w:beforeAutospacing="0" w:afterAutospacing="0" w:line="0" w:lineRule="atLeast"/>
        <w:jc w:val="center"/>
        <w:rPr>
          <w:color w:val="auto"/>
          <w:highlight w:val="none"/>
        </w:rPr>
      </w:pPr>
    </w:p>
    <w:p w14:paraId="42812D57">
      <w:pPr>
        <w:pStyle w:val="33"/>
        <w:spacing w:beforeAutospacing="0" w:afterAutospacing="0" w:line="0" w:lineRule="atLeast"/>
        <w:jc w:val="center"/>
        <w:rPr>
          <w:color w:val="auto"/>
          <w:highlight w:val="none"/>
        </w:rPr>
      </w:pPr>
    </w:p>
    <w:p w14:paraId="551E26F5">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275084E0">
      <w:pPr>
        <w:pStyle w:val="33"/>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65F41914">
      <w:pPr>
        <w:pStyle w:val="33"/>
        <w:spacing w:beforeAutospacing="0" w:afterAutospacing="0" w:line="360" w:lineRule="auto"/>
        <w:jc w:val="center"/>
        <w:rPr>
          <w:color w:val="auto"/>
          <w:highlight w:val="none"/>
        </w:rPr>
      </w:pPr>
      <w:r>
        <w:rPr>
          <w:color w:val="auto"/>
          <w:highlight w:val="none"/>
        </w:rPr>
        <w:t> </w:t>
      </w:r>
    </w:p>
    <w:p w14:paraId="20BAE67A">
      <w:pPr>
        <w:pStyle w:val="33"/>
        <w:spacing w:beforeAutospacing="0" w:afterAutospacing="0" w:line="440" w:lineRule="exact"/>
        <w:ind w:firstLine="560"/>
        <w:jc w:val="both"/>
        <w:rPr>
          <w:i/>
          <w:iCs w:val="0"/>
          <w:color w:val="auto"/>
          <w:sz w:val="28"/>
          <w:szCs w:val="28"/>
          <w:highlight w:val="none"/>
          <w:u w:val="single"/>
        </w:rPr>
      </w:pPr>
      <w:r>
        <w:rPr>
          <w:rFonts w:hint="eastAsia" w:ascii="宋体" w:hAnsi="宋体" w:cs="宋体"/>
          <w:i/>
          <w:iCs w:val="0"/>
          <w:color w:val="auto"/>
          <w:sz w:val="28"/>
          <w:szCs w:val="28"/>
          <w:highlight w:val="none"/>
          <w:u w:val="single"/>
        </w:rPr>
        <w:t>一、法人或者其他组织的营业执照等证明文件，自然人的身份证明</w:t>
      </w:r>
    </w:p>
    <w:p w14:paraId="44F2FC42">
      <w:pPr>
        <w:tabs>
          <w:tab w:val="left" w:pos="1331"/>
        </w:tabs>
        <w:spacing w:line="440" w:lineRule="exact"/>
        <w:ind w:firstLine="560"/>
        <w:jc w:val="left"/>
        <w:rPr>
          <w:i/>
          <w:color w:val="auto"/>
          <w:sz w:val="28"/>
          <w:szCs w:val="28"/>
          <w:highlight w:val="none"/>
          <w:u w:val="single"/>
        </w:rPr>
      </w:pPr>
      <w:r>
        <w:rPr>
          <w:rFonts w:hint="eastAsia" w:ascii="宋体" w:hAnsi="宋体" w:cs="宋体"/>
          <w:i/>
          <w:color w:val="auto"/>
          <w:sz w:val="28"/>
          <w:szCs w:val="28"/>
          <w:highlight w:val="none"/>
          <w:u w:val="single"/>
        </w:rPr>
        <w:t>二、</w:t>
      </w:r>
      <w:r>
        <w:rPr>
          <w:rFonts w:hint="eastAsia" w:ascii="宋体" w:hAnsi="宋体" w:cs="宋体"/>
          <w:i/>
          <w:color w:val="auto"/>
          <w:sz w:val="28"/>
          <w:szCs w:val="28"/>
          <w:highlight w:val="none"/>
          <w:u w:val="single"/>
          <w:lang w:eastAsia="zh-CN"/>
        </w:rPr>
        <w:t>上一年度或上上年度的财务状况报表</w:t>
      </w:r>
      <w:r>
        <w:rPr>
          <w:rFonts w:hint="eastAsia" w:ascii="宋体" w:hAnsi="宋体" w:cs="宋体"/>
          <w:i/>
          <w:color w:val="auto"/>
          <w:sz w:val="28"/>
          <w:szCs w:val="28"/>
          <w:highlight w:val="none"/>
          <w:u w:val="single"/>
        </w:rPr>
        <w:t>（至少提供资产负债表、利润表、现金流量表，投标人成立不满一年无需提供）</w:t>
      </w:r>
    </w:p>
    <w:p w14:paraId="321FE7ED">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三、具备履行合同所必需的设备和专业技术能力的书面声明</w:t>
      </w:r>
    </w:p>
    <w:p w14:paraId="4263C2D2">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6EA0716">
      <w:pPr>
        <w:pStyle w:val="33"/>
        <w:spacing w:beforeAutospacing="0" w:afterAutospacing="0" w:line="440" w:lineRule="exact"/>
        <w:ind w:firstLine="560"/>
        <w:jc w:val="both"/>
        <w:rPr>
          <w:i/>
          <w:iCs w:val="0"/>
          <w:color w:val="auto"/>
          <w:sz w:val="28"/>
          <w:szCs w:val="28"/>
          <w:highlight w:val="none"/>
          <w:u w:val="single"/>
        </w:rPr>
      </w:pPr>
      <w:r>
        <w:rPr>
          <w:rFonts w:hint="eastAsia" w:ascii="宋体" w:hAnsi="宋体" w:cs="宋体"/>
          <w:i/>
          <w:iCs w:val="0"/>
          <w:color w:val="auto"/>
          <w:sz w:val="28"/>
          <w:szCs w:val="28"/>
          <w:highlight w:val="none"/>
          <w:u w:val="single"/>
        </w:rPr>
        <w:t>五、参加政府采购活动前 3 年内在经营活动中没有重大违法记录的书面声明</w:t>
      </w:r>
    </w:p>
    <w:p w14:paraId="30C416DB">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六、投标人法定代表人身份证明和投标文件签署授权委托书（另附法定代表人和被授权人的身份证复印件）</w:t>
      </w:r>
    </w:p>
    <w:p w14:paraId="22C9180E">
      <w:pPr>
        <w:pStyle w:val="33"/>
        <w:spacing w:beforeAutospacing="0" w:afterAutospacing="0" w:line="440" w:lineRule="exact"/>
        <w:ind w:firstLine="560"/>
        <w:jc w:val="both"/>
        <w:rPr>
          <w:i/>
          <w:iCs w:val="0"/>
          <w:color w:val="auto"/>
          <w:sz w:val="28"/>
          <w:szCs w:val="28"/>
          <w:highlight w:val="none"/>
          <w:u w:val="single"/>
        </w:rPr>
      </w:pPr>
      <w:r>
        <w:rPr>
          <w:rFonts w:hint="eastAsia" w:ascii="宋体" w:hAnsi="宋体" w:cs="宋体"/>
          <w:i/>
          <w:iCs w:val="0"/>
          <w:color w:val="auto"/>
          <w:sz w:val="28"/>
          <w:szCs w:val="28"/>
          <w:highlight w:val="none"/>
          <w:u w:val="single"/>
        </w:rPr>
        <w:t>七、投标人为被授权人缴纳的社会养老保险证明</w:t>
      </w:r>
    </w:p>
    <w:p w14:paraId="6D3336EB">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八</w:t>
      </w:r>
      <w:r>
        <w:rPr>
          <w:rFonts w:hint="eastAsia" w:ascii="宋体" w:hAnsi="宋体" w:cs="宋体"/>
          <w:i/>
          <w:iCs w:val="0"/>
          <w:color w:val="auto"/>
          <w:sz w:val="28"/>
          <w:szCs w:val="28"/>
          <w:highlight w:val="none"/>
          <w:u w:val="single"/>
        </w:rPr>
        <w:t>、特定资格要求的证明文件（如果本项目设置特定资格要求，则需要提供）</w:t>
      </w:r>
    </w:p>
    <w:p w14:paraId="69650903">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九</w:t>
      </w:r>
      <w:r>
        <w:rPr>
          <w:rFonts w:hint="eastAsia" w:ascii="宋体" w:hAnsi="宋体" w:cs="宋体"/>
          <w:i/>
          <w:iCs w:val="0"/>
          <w:color w:val="auto"/>
          <w:sz w:val="28"/>
          <w:szCs w:val="28"/>
          <w:highlight w:val="none"/>
          <w:u w:val="single"/>
        </w:rPr>
        <w:t>、投标函</w:t>
      </w:r>
    </w:p>
    <w:p w14:paraId="7EDFA786">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十</w:t>
      </w:r>
      <w:r>
        <w:rPr>
          <w:rFonts w:hint="eastAsia" w:ascii="宋体" w:hAnsi="宋体" w:cs="宋体"/>
          <w:i/>
          <w:iCs w:val="0"/>
          <w:color w:val="auto"/>
          <w:sz w:val="28"/>
          <w:szCs w:val="28"/>
          <w:highlight w:val="none"/>
          <w:u w:val="single"/>
        </w:rPr>
        <w:t>、</w:t>
      </w:r>
      <w:r>
        <w:rPr>
          <w:rFonts w:hint="eastAsia" w:ascii="宋体" w:hAnsi="宋体" w:cs="宋体"/>
          <w:i/>
          <w:iCs w:val="0"/>
          <w:color w:val="auto"/>
          <w:sz w:val="28"/>
          <w:szCs w:val="28"/>
          <w:highlight w:val="none"/>
          <w:u w:val="single"/>
          <w:lang w:val="en-US" w:eastAsia="zh-CN"/>
        </w:rPr>
        <w:t>中小</w:t>
      </w:r>
      <w:r>
        <w:rPr>
          <w:rFonts w:hint="eastAsia" w:ascii="宋体" w:hAnsi="宋体" w:cs="宋体"/>
          <w:i/>
          <w:iCs w:val="0"/>
          <w:color w:val="auto"/>
          <w:sz w:val="28"/>
          <w:szCs w:val="28"/>
          <w:highlight w:val="none"/>
          <w:u w:val="single"/>
        </w:rPr>
        <w:t>企业声明函</w:t>
      </w:r>
    </w:p>
    <w:p w14:paraId="3D02C94C">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一</w:t>
      </w:r>
      <w:r>
        <w:rPr>
          <w:rFonts w:hint="eastAsia" w:ascii="宋体" w:hAnsi="宋体" w:cs="宋体"/>
          <w:i/>
          <w:iCs w:val="0"/>
          <w:color w:val="auto"/>
          <w:sz w:val="28"/>
          <w:szCs w:val="28"/>
          <w:highlight w:val="none"/>
          <w:u w:val="single"/>
        </w:rPr>
        <w:t>、残疾人福利性单位声明函</w:t>
      </w:r>
    </w:p>
    <w:p w14:paraId="3DB0AD4E">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二</w:t>
      </w:r>
      <w:r>
        <w:rPr>
          <w:rFonts w:hint="eastAsia" w:ascii="宋体" w:hAnsi="宋体" w:cs="宋体"/>
          <w:i/>
          <w:iCs w:val="0"/>
          <w:color w:val="auto"/>
          <w:sz w:val="28"/>
          <w:szCs w:val="28"/>
          <w:highlight w:val="none"/>
          <w:u w:val="single"/>
        </w:rPr>
        <w:t>、联合体协议</w:t>
      </w:r>
    </w:p>
    <w:p w14:paraId="1F34E881">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三</w:t>
      </w:r>
      <w:r>
        <w:rPr>
          <w:rFonts w:hint="eastAsia" w:ascii="宋体" w:hAnsi="宋体" w:cs="宋体"/>
          <w:i/>
          <w:iCs w:val="0"/>
          <w:color w:val="auto"/>
          <w:sz w:val="28"/>
          <w:szCs w:val="28"/>
          <w:highlight w:val="none"/>
          <w:u w:val="single"/>
        </w:rPr>
        <w:t>、投标分项报价表</w:t>
      </w:r>
    </w:p>
    <w:p w14:paraId="68EFB388">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四</w:t>
      </w:r>
      <w:r>
        <w:rPr>
          <w:rFonts w:hint="eastAsia" w:ascii="宋体" w:hAnsi="宋体" w:cs="宋体"/>
          <w:i/>
          <w:iCs w:val="0"/>
          <w:color w:val="auto"/>
          <w:sz w:val="28"/>
          <w:szCs w:val="28"/>
          <w:highlight w:val="none"/>
          <w:u w:val="single"/>
        </w:rPr>
        <w:t>、技术要求响应及偏离表</w:t>
      </w:r>
    </w:p>
    <w:p w14:paraId="7F6D97EE">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五</w:t>
      </w:r>
      <w:r>
        <w:rPr>
          <w:rFonts w:hint="eastAsia" w:ascii="宋体" w:hAnsi="宋体" w:cs="宋体"/>
          <w:i/>
          <w:iCs w:val="0"/>
          <w:color w:val="auto"/>
          <w:sz w:val="28"/>
          <w:szCs w:val="28"/>
          <w:highlight w:val="none"/>
          <w:u w:val="single"/>
        </w:rPr>
        <w:t>、商务要求响应及偏离表</w:t>
      </w:r>
    </w:p>
    <w:p w14:paraId="023A0107">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六</w:t>
      </w:r>
      <w:r>
        <w:rPr>
          <w:rFonts w:hint="eastAsia" w:ascii="宋体" w:hAnsi="宋体" w:cs="宋体"/>
          <w:i/>
          <w:iCs w:val="0"/>
          <w:color w:val="auto"/>
          <w:sz w:val="28"/>
          <w:szCs w:val="28"/>
          <w:highlight w:val="none"/>
          <w:u w:val="single"/>
        </w:rPr>
        <w:t>、开标一览表</w:t>
      </w:r>
    </w:p>
    <w:p w14:paraId="06DCCC14">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七</w:t>
      </w:r>
      <w:r>
        <w:rPr>
          <w:rFonts w:hint="eastAsia" w:ascii="宋体" w:hAnsi="宋体" w:cs="宋体"/>
          <w:i/>
          <w:iCs w:val="0"/>
          <w:color w:val="auto"/>
          <w:sz w:val="28"/>
          <w:szCs w:val="28"/>
          <w:highlight w:val="none"/>
          <w:u w:val="single"/>
        </w:rPr>
        <w:t>、技术方案、服务承诺、培训承诺等</w:t>
      </w:r>
    </w:p>
    <w:p w14:paraId="1C4089E9">
      <w:pPr>
        <w:pStyle w:val="33"/>
        <w:spacing w:beforeAutospacing="0" w:afterAutospacing="0" w:line="440" w:lineRule="exact"/>
        <w:ind w:firstLine="56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八</w:t>
      </w:r>
      <w:r>
        <w:rPr>
          <w:rFonts w:hint="eastAsia" w:ascii="宋体" w:hAnsi="宋体" w:cs="宋体"/>
          <w:i/>
          <w:iCs w:val="0"/>
          <w:color w:val="auto"/>
          <w:sz w:val="28"/>
          <w:szCs w:val="28"/>
          <w:highlight w:val="none"/>
          <w:u w:val="single"/>
        </w:rPr>
        <w:t>、盐城市政府采购事前信用承诺书</w:t>
      </w:r>
    </w:p>
    <w:p w14:paraId="61C67425">
      <w:pPr>
        <w:pStyle w:val="33"/>
        <w:spacing w:beforeAutospacing="0" w:afterAutospacing="0" w:line="0" w:lineRule="atLeast"/>
        <w:ind w:firstLine="480"/>
        <w:jc w:val="both"/>
        <w:rPr>
          <w:color w:val="auto"/>
          <w:highlight w:val="none"/>
        </w:rPr>
      </w:pPr>
      <w:r>
        <w:rPr>
          <w:color w:val="auto"/>
          <w:highlight w:val="none"/>
        </w:rPr>
        <w:t> </w:t>
      </w:r>
    </w:p>
    <w:p w14:paraId="76357CF5">
      <w:pPr>
        <w:pStyle w:val="33"/>
        <w:spacing w:beforeAutospacing="0" w:afterAutospacing="0" w:line="0" w:lineRule="atLeast"/>
        <w:ind w:firstLine="480"/>
        <w:jc w:val="both"/>
        <w:rPr>
          <w:color w:val="auto"/>
          <w:highlight w:val="none"/>
        </w:rPr>
      </w:pPr>
      <w:r>
        <w:rPr>
          <w:color w:val="auto"/>
          <w:highlight w:val="none"/>
        </w:rPr>
        <w:t> </w:t>
      </w:r>
    </w:p>
    <w:p w14:paraId="19382C14">
      <w:pPr>
        <w:pStyle w:val="33"/>
        <w:spacing w:beforeAutospacing="0" w:afterAutospacing="0" w:line="0" w:lineRule="atLeast"/>
        <w:ind w:firstLine="480"/>
        <w:jc w:val="both"/>
        <w:rPr>
          <w:color w:val="auto"/>
          <w:highlight w:val="none"/>
        </w:rPr>
      </w:pPr>
      <w:r>
        <w:rPr>
          <w:color w:val="auto"/>
          <w:highlight w:val="none"/>
        </w:rPr>
        <w:t> </w:t>
      </w:r>
    </w:p>
    <w:p w14:paraId="6BAE288C">
      <w:pPr>
        <w:pStyle w:val="33"/>
        <w:spacing w:beforeAutospacing="0" w:afterAutospacing="0" w:line="0" w:lineRule="atLeast"/>
        <w:ind w:firstLine="480"/>
        <w:jc w:val="both"/>
        <w:rPr>
          <w:color w:val="auto"/>
          <w:highlight w:val="none"/>
        </w:rPr>
      </w:pPr>
      <w:r>
        <w:rPr>
          <w:color w:val="auto"/>
          <w:highlight w:val="none"/>
        </w:rPr>
        <w:t> </w:t>
      </w:r>
    </w:p>
    <w:p w14:paraId="47FCB05D">
      <w:pPr>
        <w:pStyle w:val="33"/>
        <w:spacing w:beforeAutospacing="0" w:afterAutospacing="0" w:line="0" w:lineRule="atLeast"/>
        <w:ind w:firstLine="480"/>
        <w:jc w:val="both"/>
        <w:rPr>
          <w:color w:val="auto"/>
          <w:highlight w:val="none"/>
        </w:rPr>
      </w:pPr>
      <w:r>
        <w:rPr>
          <w:color w:val="auto"/>
          <w:highlight w:val="none"/>
        </w:rPr>
        <w:t> </w:t>
      </w:r>
    </w:p>
    <w:p w14:paraId="547BDA09">
      <w:pPr>
        <w:pStyle w:val="33"/>
        <w:spacing w:beforeAutospacing="0" w:afterAutospacing="0" w:line="0" w:lineRule="atLeast"/>
        <w:ind w:firstLine="480"/>
        <w:jc w:val="both"/>
        <w:rPr>
          <w:color w:val="auto"/>
          <w:highlight w:val="none"/>
        </w:rPr>
      </w:pPr>
      <w:r>
        <w:rPr>
          <w:color w:val="auto"/>
          <w:highlight w:val="none"/>
        </w:rPr>
        <w:t> </w:t>
      </w:r>
    </w:p>
    <w:p w14:paraId="5525659A">
      <w:pPr>
        <w:pStyle w:val="33"/>
        <w:spacing w:beforeAutospacing="0" w:afterAutospacing="0" w:line="0" w:lineRule="atLeast"/>
        <w:ind w:firstLine="480"/>
        <w:jc w:val="both"/>
        <w:rPr>
          <w:color w:val="auto"/>
          <w:highlight w:val="none"/>
        </w:rPr>
      </w:pPr>
      <w:r>
        <w:rPr>
          <w:color w:val="auto"/>
          <w:highlight w:val="none"/>
        </w:rPr>
        <w:t> </w:t>
      </w:r>
    </w:p>
    <w:p w14:paraId="776EDBC2">
      <w:pPr>
        <w:pStyle w:val="33"/>
        <w:spacing w:beforeAutospacing="0" w:afterAutospacing="0" w:line="0" w:lineRule="atLeast"/>
        <w:ind w:firstLine="480"/>
        <w:jc w:val="both"/>
        <w:rPr>
          <w:color w:val="auto"/>
          <w:highlight w:val="none"/>
        </w:rPr>
      </w:pPr>
      <w:r>
        <w:rPr>
          <w:color w:val="auto"/>
          <w:highlight w:val="none"/>
        </w:rPr>
        <w:t> </w:t>
      </w:r>
    </w:p>
    <w:p w14:paraId="0E90B76F">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5A18A61C">
      <w:pPr>
        <w:pStyle w:val="33"/>
        <w:spacing w:beforeAutospacing="0" w:afterAutospacing="0" w:line="0" w:lineRule="atLeast"/>
        <w:ind w:firstLine="480"/>
        <w:jc w:val="both"/>
        <w:rPr>
          <w:color w:val="auto"/>
          <w:highlight w:val="none"/>
        </w:rPr>
      </w:pPr>
      <w:r>
        <w:rPr>
          <w:color w:val="auto"/>
          <w:highlight w:val="none"/>
        </w:rPr>
        <w:t> </w:t>
      </w:r>
    </w:p>
    <w:p w14:paraId="25F1BAAC">
      <w:pPr>
        <w:pStyle w:val="33"/>
        <w:spacing w:beforeAutospacing="0" w:afterAutospacing="0"/>
        <w:jc w:val="both"/>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604D1F56">
      <w:pPr>
        <w:tabs>
          <w:tab w:val="left" w:pos="1331"/>
        </w:tabs>
        <w:ind w:firstLine="480"/>
        <w:jc w:val="left"/>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（至少提供资产负债表、利润表、现金流量表，</w:t>
      </w:r>
      <w:r>
        <w:rPr>
          <w:rFonts w:hint="eastAsia" w:ascii="宋体" w:hAnsi="宋体" w:eastAsia="宋体" w:cs="宋体"/>
          <w:i w:val="0"/>
          <w:iCs/>
          <w:color w:val="auto"/>
          <w:highlight w:val="none"/>
          <w:u w:val="none"/>
        </w:rPr>
        <w:t>投标人成立不满一年无需提供）</w:t>
      </w:r>
    </w:p>
    <w:p w14:paraId="3AB259B5">
      <w:pPr>
        <w:pStyle w:val="33"/>
        <w:spacing w:beforeAutospacing="0" w:afterAutospacing="0"/>
        <w:jc w:val="both"/>
        <w:rPr>
          <w:color w:val="auto"/>
          <w:highlight w:val="none"/>
        </w:rPr>
      </w:pPr>
      <w:r>
        <w:rPr>
          <w:color w:val="auto"/>
          <w:highlight w:val="none"/>
        </w:rPr>
        <w:t> </w:t>
      </w:r>
    </w:p>
    <w:p w14:paraId="7FBE7E99">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50A40187">
      <w:pPr>
        <w:jc w:val="center"/>
        <w:rPr>
          <w:rFonts w:hint="eastAsia" w:ascii="黑体" w:eastAsia="黑体"/>
          <w:b/>
          <w:bCs/>
          <w:color w:val="auto"/>
          <w:sz w:val="32"/>
          <w:szCs w:val="32"/>
          <w:highlight w:val="none"/>
        </w:rPr>
      </w:pPr>
      <w:r>
        <w:rPr>
          <w:rFonts w:hint="eastAsia" w:ascii="黑体" w:hAnsi="Times New Roman" w:eastAsia="黑体"/>
          <w:b/>
          <w:bCs/>
          <w:color w:val="auto"/>
          <w:sz w:val="32"/>
          <w:szCs w:val="32"/>
          <w:highlight w:val="none"/>
        </w:rPr>
        <w:t>具有履</w:t>
      </w:r>
      <w:r>
        <w:rPr>
          <w:rFonts w:hint="eastAsia" w:ascii="黑体" w:eastAsia="黑体"/>
          <w:b/>
          <w:bCs/>
          <w:color w:val="auto"/>
          <w:sz w:val="32"/>
          <w:szCs w:val="32"/>
          <w:highlight w:val="none"/>
        </w:rPr>
        <w:t>行合同所必需的设备和专业技术能力的书面声明</w:t>
      </w:r>
    </w:p>
    <w:p w14:paraId="2C37AC39">
      <w:pPr>
        <w:rPr>
          <w:rFonts w:hint="eastAsia" w:ascii="仿宋_GB2312" w:eastAsia="仿宋_GB2312"/>
          <w:color w:val="auto"/>
          <w:sz w:val="24"/>
          <w:highlight w:val="none"/>
        </w:rPr>
      </w:pPr>
    </w:p>
    <w:p w14:paraId="702451D0">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我单位郑重声明：我单位具备履行本项采购合同所必需的设备和专业技术能力，为履行本项采购合同我公司具备如下主要设备和主要专业技术能力：</w:t>
      </w:r>
    </w:p>
    <w:p w14:paraId="126AF1AB">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主要设备有：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04C0FD3">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主要专业技术能力有：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61029DD">
      <w:pPr>
        <w:spacing w:line="600" w:lineRule="exact"/>
        <w:ind w:firstLine="460"/>
        <w:rPr>
          <w:rFonts w:hint="eastAsia" w:ascii="宋体" w:hAnsi="宋体" w:cs="宋体"/>
          <w:color w:val="auto"/>
          <w:sz w:val="24"/>
          <w:highlight w:val="none"/>
        </w:rPr>
      </w:pPr>
    </w:p>
    <w:p w14:paraId="6A4F03CB">
      <w:pPr>
        <w:spacing w:line="600" w:lineRule="exact"/>
        <w:ind w:firstLine="460"/>
        <w:rPr>
          <w:rFonts w:hint="eastAsia" w:ascii="宋体" w:hAnsi="宋体" w:cs="宋体"/>
          <w:color w:val="auto"/>
          <w:sz w:val="24"/>
          <w:highlight w:val="none"/>
        </w:rPr>
      </w:pPr>
    </w:p>
    <w:p w14:paraId="3D0AAB5F">
      <w:pPr>
        <w:spacing w:line="600" w:lineRule="exact"/>
        <w:ind w:firstLine="46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01273F55">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法定代表人或被授权人（签字）：</w:t>
      </w:r>
    </w:p>
    <w:p w14:paraId="6F9FFDDF">
      <w:pPr>
        <w:spacing w:line="600" w:lineRule="exact"/>
        <w:ind w:firstLine="1680"/>
        <w:rPr>
          <w:rFonts w:hint="eastAsia" w:ascii="宋体" w:hAnsi="宋体" w:cs="宋体"/>
          <w:color w:val="auto"/>
          <w:sz w:val="24"/>
          <w:highlight w:val="none"/>
        </w:rPr>
      </w:pPr>
    </w:p>
    <w:p w14:paraId="0D68E9A5">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16AFB4A0">
      <w:pPr>
        <w:spacing w:line="600" w:lineRule="exact"/>
        <w:ind w:firstLine="16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1B79A4AA">
      <w:pPr>
        <w:spacing w:line="600" w:lineRule="exact"/>
        <w:jc w:val="righ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4EFA7E18">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rPr>
        <w:br w:type="page" w:clear="all"/>
      </w: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4886F156">
      <w:pPr>
        <w:pStyle w:val="33"/>
        <w:spacing w:beforeAutospacing="0" w:afterAutospacing="0"/>
        <w:ind w:firstLine="480"/>
        <w:jc w:val="both"/>
        <w:rPr>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357CF6B5">
      <w:pPr>
        <w:pStyle w:val="33"/>
        <w:spacing w:beforeAutospacing="0" w:afterAutospacing="0"/>
        <w:jc w:val="both"/>
        <w:rPr>
          <w:color w:val="auto"/>
          <w:highlight w:val="none"/>
        </w:rPr>
      </w:pPr>
      <w:r>
        <w:rPr>
          <w:color w:val="auto"/>
          <w:highlight w:val="none"/>
        </w:rPr>
        <w:t> </w:t>
      </w:r>
    </w:p>
    <w:p w14:paraId="0A513962">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76741D71">
      <w:pPr>
        <w:spacing w:line="600" w:lineRule="exact"/>
        <w:jc w:val="center"/>
        <w:rPr>
          <w:rFonts w:hint="eastAsia" w:ascii="黑体" w:eastAsia="黑体"/>
          <w:b/>
          <w:bCs/>
          <w:color w:val="auto"/>
          <w:sz w:val="32"/>
          <w:szCs w:val="32"/>
          <w:highlight w:val="none"/>
        </w:rPr>
      </w:pPr>
      <w:bookmarkStart w:id="181" w:name="_Toc120614284"/>
      <w:r>
        <w:rPr>
          <w:rFonts w:hint="eastAsia" w:ascii="黑体" w:eastAsia="黑体"/>
          <w:b/>
          <w:bCs/>
          <w:color w:val="auto"/>
          <w:sz w:val="32"/>
          <w:szCs w:val="32"/>
          <w:highlight w:val="none"/>
        </w:rPr>
        <w:t>参加政府采购活动前3年内在经营活动中</w:t>
      </w:r>
    </w:p>
    <w:p w14:paraId="7075C267">
      <w:pPr>
        <w:spacing w:line="600" w:lineRule="exact"/>
        <w:jc w:val="center"/>
        <w:rPr>
          <w:rFonts w:hint="eastAsia" w:ascii="黑体" w:eastAsia="黑体"/>
          <w:b/>
          <w:bCs/>
          <w:color w:val="auto"/>
          <w:sz w:val="32"/>
          <w:szCs w:val="32"/>
          <w:highlight w:val="none"/>
        </w:rPr>
      </w:pPr>
      <w:r>
        <w:rPr>
          <w:rFonts w:hint="eastAsia" w:ascii="黑体" w:eastAsia="黑体"/>
          <w:b/>
          <w:bCs/>
          <w:color w:val="auto"/>
          <w:sz w:val="32"/>
          <w:szCs w:val="32"/>
          <w:highlight w:val="none"/>
        </w:rPr>
        <w:t>没有重大违法记录的书面声明</w:t>
      </w:r>
    </w:p>
    <w:p w14:paraId="1863778E">
      <w:pPr>
        <w:spacing w:line="600" w:lineRule="exact"/>
        <w:rPr>
          <w:rFonts w:hint="eastAsia" w:ascii="仿宋_GB2312" w:eastAsia="仿宋_GB2312"/>
          <w:color w:val="auto"/>
          <w:sz w:val="24"/>
          <w:highlight w:val="none"/>
        </w:rPr>
      </w:pPr>
    </w:p>
    <w:p w14:paraId="3775F7AA">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34DC9EED">
      <w:pPr>
        <w:spacing w:line="600" w:lineRule="exact"/>
        <w:ind w:firstLine="460"/>
        <w:rPr>
          <w:rFonts w:hint="eastAsia" w:ascii="宋体" w:hAnsi="宋体" w:cs="宋体"/>
          <w:color w:val="auto"/>
          <w:sz w:val="24"/>
          <w:highlight w:val="none"/>
        </w:rPr>
      </w:pPr>
    </w:p>
    <w:p w14:paraId="7B00BCFB">
      <w:pPr>
        <w:spacing w:line="600" w:lineRule="exact"/>
        <w:ind w:firstLine="46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6168C7F7">
      <w:pPr>
        <w:spacing w:line="600" w:lineRule="exact"/>
        <w:ind w:firstLine="460"/>
        <w:rPr>
          <w:rFonts w:hint="eastAsia" w:ascii="宋体" w:hAnsi="宋体" w:cs="宋体"/>
          <w:color w:val="auto"/>
          <w:sz w:val="24"/>
          <w:highlight w:val="none"/>
        </w:rPr>
      </w:pPr>
    </w:p>
    <w:p w14:paraId="62A53E1E">
      <w:pPr>
        <w:spacing w:line="600" w:lineRule="exact"/>
        <w:ind w:firstLine="3120"/>
        <w:rPr>
          <w:rFonts w:hint="eastAsia" w:ascii="宋体" w:hAnsi="宋体" w:cs="宋体"/>
          <w:color w:val="auto"/>
          <w:sz w:val="24"/>
          <w:highlight w:val="none"/>
        </w:rPr>
      </w:pPr>
      <w:r>
        <w:rPr>
          <w:rFonts w:hint="eastAsia" w:ascii="宋体" w:hAnsi="宋体" w:cs="宋体"/>
          <w:color w:val="auto"/>
          <w:sz w:val="24"/>
          <w:highlight w:val="none"/>
        </w:rPr>
        <w:t>法定代表人或被授权人（签字）：</w:t>
      </w:r>
    </w:p>
    <w:p w14:paraId="560C2311">
      <w:pPr>
        <w:spacing w:line="600" w:lineRule="exact"/>
        <w:ind w:firstLine="1680"/>
        <w:rPr>
          <w:rFonts w:hint="eastAsia" w:ascii="宋体" w:hAnsi="宋体" w:cs="宋体"/>
          <w:color w:val="auto"/>
          <w:sz w:val="24"/>
          <w:highlight w:val="none"/>
        </w:rPr>
      </w:pPr>
    </w:p>
    <w:p w14:paraId="22CDE09B">
      <w:pPr>
        <w:spacing w:line="600" w:lineRule="exact"/>
        <w:ind w:firstLine="312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79C9EBE1">
      <w:pPr>
        <w:spacing w:line="600" w:lineRule="exact"/>
        <w:ind w:firstLine="1680"/>
        <w:rPr>
          <w:rFonts w:hint="eastAsia" w:ascii="宋体" w:hAnsi="宋体" w:cs="宋体"/>
          <w:color w:val="auto"/>
          <w:sz w:val="24"/>
          <w:highlight w:val="none"/>
        </w:rPr>
      </w:pPr>
    </w:p>
    <w:p w14:paraId="2FCD2231">
      <w:pPr>
        <w:spacing w:line="600" w:lineRule="exact"/>
        <w:ind w:firstLine="1680"/>
        <w:jc w:val="righ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34331EE2">
      <w:pPr>
        <w:pStyle w:val="33"/>
        <w:spacing w:beforeAutospacing="0" w:afterAutospacing="0"/>
        <w:jc w:val="both"/>
        <w:rPr>
          <w:color w:val="auto"/>
          <w:highlight w:val="none"/>
        </w:rPr>
      </w:pPr>
    </w:p>
    <w:p w14:paraId="12BBEB6A">
      <w:pPr>
        <w:pStyle w:val="33"/>
        <w:spacing w:beforeAutospacing="0" w:afterAutospacing="0"/>
        <w:jc w:val="both"/>
        <w:rPr>
          <w:rFonts w:hint="eastAsia" w:ascii="黑体" w:hAnsi="宋体" w:eastAsia="黑体" w:cs="黑体"/>
          <w:i/>
          <w:color w:val="auto"/>
          <w:sz w:val="32"/>
          <w:szCs w:val="32"/>
          <w:highlight w:val="none"/>
          <w:u w:val="single"/>
        </w:rPr>
      </w:pPr>
    </w:p>
    <w:p w14:paraId="68098840">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p>
    <w:p w14:paraId="2F3BC499">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六、投标人法定代表人身份证明和投标文件签署授权委托书（另附法定代表人和被授权人的身份证复印件）</w:t>
      </w:r>
    </w:p>
    <w:p w14:paraId="250EB060">
      <w:pPr>
        <w:spacing w:line="600" w:lineRule="exact"/>
        <w:jc w:val="center"/>
        <w:outlineLvl w:val="1"/>
        <w:rPr>
          <w:rFonts w:hint="eastAsia" w:ascii="黑体" w:eastAsia="黑体"/>
          <w:b/>
          <w:bCs/>
          <w:i/>
          <w:iCs/>
          <w:color w:val="auto"/>
          <w:sz w:val="32"/>
          <w:szCs w:val="32"/>
          <w:highlight w:val="none"/>
          <w:u w:val="single"/>
        </w:rPr>
      </w:pPr>
      <w:r>
        <w:rPr>
          <w:rFonts w:hint="eastAsia" w:ascii="黑体" w:eastAsia="黑体"/>
          <w:b/>
          <w:bCs/>
          <w:i/>
          <w:iCs/>
          <w:color w:val="auto"/>
          <w:sz w:val="32"/>
          <w:szCs w:val="32"/>
          <w:highlight w:val="none"/>
          <w:u w:val="single"/>
        </w:rPr>
        <w:t>法定代表人身份证明书</w:t>
      </w:r>
    </w:p>
    <w:p w14:paraId="276FBC36">
      <w:pPr>
        <w:spacing w:line="600" w:lineRule="exact"/>
        <w:jc w:val="center"/>
        <w:rPr>
          <w:rFonts w:hint="eastAsia" w:ascii="黑体" w:eastAsia="黑体"/>
          <w:b/>
          <w:color w:val="auto"/>
          <w:sz w:val="28"/>
          <w:highlight w:val="none"/>
        </w:rPr>
      </w:pPr>
    </w:p>
    <w:p w14:paraId="18C108D4">
      <w:pPr>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：（采购人名称）</w:t>
      </w:r>
    </w:p>
    <w:p w14:paraId="21DF12BB">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u w:val="single"/>
        </w:rPr>
        <w:t xml:space="preserve">  （法定代表人姓名） </w:t>
      </w:r>
      <w:r>
        <w:rPr>
          <w:rFonts w:hint="eastAsia" w:ascii="宋体" w:hAnsi="宋体" w:cs="宋体"/>
          <w:color w:val="auto"/>
          <w:sz w:val="24"/>
          <w:highlight w:val="none"/>
        </w:rPr>
        <w:t>在</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任</w:t>
      </w:r>
      <w:r>
        <w:rPr>
          <w:rFonts w:hint="eastAsia" w:ascii="宋体" w:hAnsi="宋体" w:cs="宋体"/>
          <w:color w:val="auto"/>
          <w:sz w:val="24"/>
          <w:highlight w:val="none"/>
          <w:u w:val="single"/>
        </w:rPr>
        <w:t>（职务名称）</w:t>
      </w:r>
      <w:r>
        <w:rPr>
          <w:rFonts w:hint="eastAsia" w:ascii="宋体" w:hAnsi="宋体" w:cs="宋体"/>
          <w:color w:val="auto"/>
          <w:sz w:val="24"/>
          <w:highlight w:val="none"/>
        </w:rPr>
        <w:t>职务，是</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的法定代表人，联系电话（手机号码）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8360102">
      <w:pPr>
        <w:spacing w:line="600" w:lineRule="exact"/>
        <w:rPr>
          <w:rFonts w:hint="eastAsia" w:ascii="宋体" w:hAnsi="宋体" w:cs="宋体"/>
          <w:color w:val="auto"/>
          <w:sz w:val="24"/>
          <w:highlight w:val="none"/>
        </w:rPr>
      </w:pPr>
    </w:p>
    <w:p w14:paraId="109846B1">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特此证明。</w:t>
      </w:r>
    </w:p>
    <w:p w14:paraId="404D177E">
      <w:pPr>
        <w:spacing w:line="600" w:lineRule="exact"/>
        <w:ind w:firstLine="4560"/>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      </w:t>
      </w:r>
    </w:p>
    <w:p w14:paraId="2CD81315">
      <w:pPr>
        <w:spacing w:line="600" w:lineRule="exact"/>
        <w:ind w:firstLine="1200"/>
        <w:rPr>
          <w:rFonts w:hint="eastAsia" w:ascii="宋体" w:hAnsi="宋体" w:cs="宋体"/>
          <w:color w:val="auto"/>
          <w:sz w:val="24"/>
          <w:highlight w:val="none"/>
        </w:rPr>
      </w:pPr>
    </w:p>
    <w:p w14:paraId="0B85419F">
      <w:pPr>
        <w:spacing w:line="600" w:lineRule="exact"/>
        <w:ind w:firstLine="2126"/>
        <w:jc w:val="righ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p>
    <w:p w14:paraId="191A74CD">
      <w:pPr>
        <w:spacing w:line="600" w:lineRule="exact"/>
        <w:jc w:val="left"/>
        <w:rPr>
          <w:rFonts w:hint="eastAsia" w:ascii="宋体" w:hAnsi="宋体" w:cs="宋体"/>
          <w:b/>
          <w:bCs/>
          <w:color w:val="auto"/>
          <w:sz w:val="24"/>
          <w:highlight w:val="none"/>
        </w:rPr>
      </w:pPr>
    </w:p>
    <w:p w14:paraId="4006CD72">
      <w:pPr>
        <w:spacing w:line="600" w:lineRule="exact"/>
        <w:jc w:val="left"/>
        <w:rPr>
          <w:rFonts w:hint="eastAsia" w:ascii="宋体" w:hAnsi="宋体" w:cs="宋体"/>
          <w:b/>
          <w:bCs/>
          <w:color w:val="auto"/>
          <w:sz w:val="24"/>
          <w:highlight w:val="none"/>
        </w:rPr>
      </w:pPr>
      <w:r>
        <w:rPr>
          <w:rFonts w:hint="eastAsia" w:ascii="宋体" w:hAnsi="宋体" w:cs="宋体"/>
          <w:b/>
          <w:bCs/>
          <w:color w:val="auto"/>
          <w:sz w:val="24"/>
          <w:highlight w:val="none"/>
        </w:rPr>
        <w:t>（附：法定代表人身份证正反面复印件或扫描件）</w:t>
      </w:r>
    </w:p>
    <w:p w14:paraId="1C99735B">
      <w:pPr>
        <w:jc w:val="left"/>
        <w:rPr>
          <w:rFonts w:ascii="仿宋_GB2312" w:eastAsia="仿宋_GB2312"/>
          <w:color w:val="auto"/>
          <w:sz w:val="24"/>
          <w:highlight w:val="none"/>
        </w:rPr>
      </w:pPr>
    </w:p>
    <w:p w14:paraId="594B97AC">
      <w:pPr>
        <w:spacing w:line="400" w:lineRule="exact"/>
        <w:jc w:val="center"/>
        <w:rPr>
          <w:rFonts w:hint="eastAsia" w:ascii="黑体" w:eastAsia="黑体"/>
          <w:i/>
          <w:iCs/>
          <w:color w:val="auto"/>
          <w:sz w:val="28"/>
          <w:highlight w:val="none"/>
          <w:u w:val="single"/>
        </w:rPr>
      </w:pPr>
      <w:r>
        <w:rPr>
          <w:rFonts w:ascii="仿宋_GB2312" w:eastAsia="仿宋_GB2312"/>
          <w:color w:val="auto"/>
          <w:sz w:val="24"/>
          <w:highlight w:val="none"/>
        </w:rPr>
        <w:br w:type="page" w:clear="all"/>
      </w:r>
      <w:r>
        <w:rPr>
          <w:rFonts w:hint="eastAsia" w:ascii="黑体" w:hAnsi="Times New Roman" w:eastAsia="黑体"/>
          <w:b/>
          <w:bCs/>
          <w:i/>
          <w:iCs/>
          <w:color w:val="auto"/>
          <w:sz w:val="32"/>
          <w:szCs w:val="32"/>
          <w:highlight w:val="none"/>
          <w:u w:val="single"/>
        </w:rPr>
        <w:t>授权委托</w:t>
      </w:r>
      <w:r>
        <w:rPr>
          <w:rFonts w:hint="eastAsia" w:ascii="黑体" w:eastAsia="黑体"/>
          <w:b/>
          <w:bCs/>
          <w:i/>
          <w:iCs/>
          <w:color w:val="auto"/>
          <w:sz w:val="32"/>
          <w:szCs w:val="32"/>
          <w:highlight w:val="none"/>
          <w:u w:val="single"/>
        </w:rPr>
        <w:t>书</w:t>
      </w:r>
    </w:p>
    <w:p w14:paraId="282EC30D">
      <w:pPr>
        <w:ind w:firstLine="480"/>
        <w:rPr>
          <w:rFonts w:hint="eastAsia" w:ascii="宋体" w:hAnsi="宋体" w:cs="宋体"/>
          <w:color w:val="auto"/>
          <w:sz w:val="24"/>
          <w:highlight w:val="none"/>
        </w:rPr>
      </w:pPr>
    </w:p>
    <w:p w14:paraId="17ABC2EC">
      <w:pPr>
        <w:spacing w:line="480" w:lineRule="auto"/>
        <w:ind w:firstLine="480"/>
        <w:rPr>
          <w:rFonts w:hint="eastAsia" w:ascii="宋体" w:hAnsi="宋体" w:cs="宋体"/>
          <w:color w:val="auto"/>
          <w:sz w:val="24"/>
          <w:highlight w:val="none"/>
        </w:rPr>
      </w:pPr>
      <w:r>
        <w:rPr>
          <w:rFonts w:hint="eastAsia" w:ascii="宋体" w:hAnsi="宋体" w:cs="宋体"/>
          <w:color w:val="auto"/>
          <w:sz w:val="24"/>
          <w:highlight w:val="none"/>
        </w:rPr>
        <w:t>本授权书声明：我</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的法定代表人，现授权____________（投标人名称）的________________（被授权人的姓名）为我单位就JSZC-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号项目的投标文件的法定代表人授权委托代理，，我承认被授权人全权代表我所签署的本项目的投标文件的内容。以本单位名义全权处理一切与该项目采购有关的事务。</w:t>
      </w:r>
    </w:p>
    <w:p w14:paraId="09A6BBDE">
      <w:pPr>
        <w:pStyle w:val="197"/>
        <w:spacing w:line="48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本授权书于______年____月____日起生效，特此声明。</w:t>
      </w:r>
    </w:p>
    <w:p w14:paraId="33FADF45">
      <w:pPr>
        <w:pStyle w:val="197"/>
        <w:spacing w:line="480" w:lineRule="auto"/>
        <w:ind w:firstLine="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hint="eastAsia" w:ascii="宋体" w:hAnsi="宋体" w:cs="宋体"/>
          <w:color w:val="auto"/>
          <w:sz w:val="24"/>
          <w:highlight w:val="none"/>
        </w:rPr>
        <w:t>代理人</w:t>
      </w:r>
      <w:r>
        <w:rPr>
          <w:rFonts w:hint="eastAsia" w:ascii="宋体" w:hAnsi="宋体" w:cs="宋体"/>
          <w:color w:val="auto"/>
          <w:sz w:val="24"/>
          <w:szCs w:val="24"/>
          <w:highlight w:val="none"/>
        </w:rPr>
        <w:t>被授权人身份证号码：</w:t>
      </w:r>
      <w:r>
        <w:rPr>
          <w:rFonts w:hint="eastAsia" w:ascii="宋体" w:hAnsi="宋体" w:cs="宋体"/>
          <w:color w:val="auto"/>
          <w:sz w:val="24"/>
          <w:szCs w:val="24"/>
          <w:highlight w:val="none"/>
          <w:u w:val="single"/>
        </w:rPr>
        <w:t xml:space="preserve">                              </w:t>
      </w:r>
    </w:p>
    <w:p w14:paraId="1356F7C0">
      <w:pPr>
        <w:pStyle w:val="197"/>
        <w:spacing w:line="480" w:lineRule="auto"/>
        <w:ind w:firstLine="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p>
    <w:p w14:paraId="273018F0">
      <w:pPr>
        <w:pStyle w:val="197"/>
        <w:spacing w:line="480"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授权单位名称：</w:t>
      </w:r>
      <w:r>
        <w:rPr>
          <w:rFonts w:hint="eastAsia" w:ascii="宋体" w:hAnsi="宋体" w:cs="宋体"/>
          <w:color w:val="auto"/>
          <w:sz w:val="24"/>
          <w:szCs w:val="24"/>
          <w:highlight w:val="none"/>
          <w:u w:val="single"/>
        </w:rPr>
        <w:t>（加盖CA电子公章）</w:t>
      </w:r>
    </w:p>
    <w:p w14:paraId="5FCB2788">
      <w:pPr>
        <w:pStyle w:val="197"/>
        <w:spacing w:line="480" w:lineRule="auto"/>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p>
    <w:p w14:paraId="461E3211">
      <w:pPr>
        <w:pStyle w:val="197"/>
        <w:spacing w:line="480" w:lineRule="auto"/>
        <w:ind w:firstLine="480"/>
        <w:rPr>
          <w:rFonts w:hint="eastAsia" w:ascii="宋体" w:hAnsi="宋体" w:cs="宋体"/>
          <w:color w:val="auto"/>
          <w:sz w:val="24"/>
          <w:highlight w:val="none"/>
        </w:rPr>
      </w:pPr>
      <w:r>
        <w:rPr>
          <w:rFonts w:hint="eastAsia" w:ascii="宋体" w:hAnsi="宋体" w:cs="宋体"/>
          <w:color w:val="auto"/>
          <w:sz w:val="24"/>
          <w:szCs w:val="24"/>
          <w:highlight w:val="none"/>
        </w:rPr>
        <w:t xml:space="preserve">      法定代表人：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single"/>
        </w:rPr>
        <w:t>（加盖电子章）</w:t>
      </w:r>
    </w:p>
    <w:p w14:paraId="55BFC0B2">
      <w:pPr>
        <w:pStyle w:val="197"/>
        <w:spacing w:line="480"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p>
    <w:p w14:paraId="612DFABB">
      <w:pPr>
        <w:spacing w:line="48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（附：被授权人身份证正反面复印件或扫描件）</w:t>
      </w:r>
    </w:p>
    <w:p w14:paraId="22BC64D8">
      <w:pPr>
        <w:pStyle w:val="12"/>
        <w:spacing w:line="480" w:lineRule="auto"/>
        <w:rPr>
          <w:rFonts w:hint="eastAsia" w:ascii="宋体" w:hAnsi="宋体" w:cs="宋体"/>
          <w:i/>
          <w:color w:val="auto"/>
          <w:sz w:val="24"/>
          <w:highlight w:val="none"/>
          <w:u w:val="single"/>
        </w:rPr>
      </w:pPr>
    </w:p>
    <w:p w14:paraId="70C30CCE">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注：</w:t>
      </w:r>
      <w:r>
        <w:rPr>
          <w:rFonts w:hint="eastAsia" w:ascii="宋体" w:hAnsi="宋体" w:cs="宋体"/>
          <w:color w:val="auto"/>
          <w:sz w:val="24"/>
          <w:highlight w:val="none"/>
        </w:rPr>
        <w:t>被授权人须为本单位正式职工并提供投标人为被授权人缴纳的社会养老保险证明。</w:t>
      </w:r>
    </w:p>
    <w:p w14:paraId="5DB3F656">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rPr>
        <w:br w:type="page" w:clear="all"/>
      </w:r>
      <w:r>
        <w:rPr>
          <w:rFonts w:hint="eastAsia" w:ascii="黑体" w:hAnsi="宋体" w:eastAsia="黑体" w:cs="黑体"/>
          <w:i/>
          <w:color w:val="auto"/>
          <w:sz w:val="32"/>
          <w:szCs w:val="32"/>
          <w:highlight w:val="none"/>
        </w:rPr>
        <w:t>七、</w:t>
      </w:r>
      <w:r>
        <w:rPr>
          <w:rFonts w:hint="eastAsia" w:ascii="黑体" w:hAnsi="宋体" w:eastAsia="黑体" w:cs="黑体"/>
          <w:i/>
          <w:color w:val="auto"/>
          <w:sz w:val="32"/>
          <w:szCs w:val="32"/>
          <w:highlight w:val="none"/>
          <w:u w:val="single"/>
        </w:rPr>
        <w:t>投标人为被授权人缴纳的社会养老保险证明</w:t>
      </w:r>
    </w:p>
    <w:p w14:paraId="4B862773">
      <w:pPr>
        <w:pStyle w:val="33"/>
        <w:spacing w:beforeAutospacing="0" w:afterAutospacing="0"/>
        <w:jc w:val="both"/>
        <w:rPr>
          <w:color w:val="auto"/>
          <w:highlight w:val="none"/>
        </w:rPr>
      </w:pPr>
      <w:bookmarkStart w:id="182" w:name="_格式3__银行出具的资信证明"/>
      <w:bookmarkStart w:id="183" w:name="_Hlt26671380"/>
      <w:bookmarkStart w:id="184" w:name="_Hlt26955070"/>
      <w:r>
        <w:rPr>
          <w:rFonts w:hint="eastAsia" w:ascii="黑体" w:hAnsi="宋体" w:eastAsia="黑体" w:cs="黑体"/>
          <w:i/>
          <w:color w:val="auto"/>
          <w:sz w:val="32"/>
          <w:szCs w:val="32"/>
          <w:highlight w:val="none"/>
          <w:u w:val="single"/>
          <w:lang w:val="en-US" w:eastAsia="zh-CN"/>
        </w:rPr>
        <w:t>八</w:t>
      </w:r>
      <w:r>
        <w:rPr>
          <w:rFonts w:hint="eastAsia" w:ascii="黑体" w:hAnsi="宋体" w:eastAsia="黑体" w:cs="黑体"/>
          <w:i/>
          <w:color w:val="auto"/>
          <w:sz w:val="32"/>
          <w:szCs w:val="32"/>
          <w:highlight w:val="none"/>
          <w:u w:val="single"/>
        </w:rPr>
        <w:t>、特定资格要求的证明文件</w:t>
      </w:r>
    </w:p>
    <w:p w14:paraId="313D84A7">
      <w:pPr>
        <w:pStyle w:val="33"/>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2A9DD7D0">
      <w:pPr>
        <w:pStyle w:val="33"/>
        <w:keepNext/>
        <w:keepLines/>
        <w:pageBreakBefore w:val="0"/>
        <w:widowControl w:val="0"/>
        <w:spacing w:beforeAutospacing="0" w:afterAutospacing="0" w:line="360" w:lineRule="auto"/>
        <w:ind w:firstLine="3390"/>
        <w:jc w:val="both"/>
        <w:rPr>
          <w:color w:val="auto"/>
          <w:highlight w:val="none"/>
        </w:rPr>
      </w:pPr>
      <w:r>
        <w:rPr>
          <w:rFonts w:hint="eastAsia" w:ascii="宋体" w:hAnsi="宋体" w:eastAsia="宋体" w:cs="宋体"/>
          <w:b/>
          <w:color w:val="auto"/>
          <w:highlight w:val="none"/>
        </w:rPr>
        <w:t> </w:t>
      </w:r>
      <w:r>
        <w:rPr>
          <w:rFonts w:hint="eastAsia" w:ascii="黑体" w:hAnsi="宋体" w:eastAsia="黑体" w:cs="黑体"/>
          <w:b/>
          <w:i/>
          <w:color w:val="auto"/>
          <w:sz w:val="32"/>
          <w:szCs w:val="32"/>
          <w:highlight w:val="none"/>
          <w:u w:val="single"/>
          <w:lang w:val="en-US" w:eastAsia="zh-CN"/>
        </w:rPr>
        <w:t>九</w:t>
      </w:r>
      <w:r>
        <w:rPr>
          <w:rFonts w:hint="eastAsia" w:ascii="黑体" w:hAnsi="宋体" w:eastAsia="黑体" w:cs="黑体"/>
          <w:b/>
          <w:i/>
          <w:color w:val="auto"/>
          <w:sz w:val="32"/>
          <w:szCs w:val="32"/>
          <w:highlight w:val="none"/>
          <w:u w:val="single"/>
        </w:rPr>
        <w:t>、投标函</w:t>
      </w:r>
    </w:p>
    <w:p w14:paraId="2DF9E978">
      <w:pPr>
        <w:pStyle w:val="194"/>
        <w:spacing w:before="0" w:after="0" w:line="420" w:lineRule="exact"/>
        <w:ind w:firstLine="0"/>
        <w:rPr>
          <w:rFonts w:ascii="宋体" w:hAnsi="宋体"/>
          <w:color w:val="auto"/>
          <w:szCs w:val="21"/>
          <w:highlight w:val="none"/>
          <w:u w:val="single"/>
        </w:rPr>
      </w:pPr>
      <w:r>
        <w:rPr>
          <w:rFonts w:hint="eastAsia" w:ascii="宋体" w:hAnsi="宋体"/>
          <w:color w:val="auto"/>
          <w:szCs w:val="21"/>
          <w:highlight w:val="none"/>
        </w:rPr>
        <w:t>致：</w:t>
      </w:r>
      <w:r>
        <w:rPr>
          <w:rFonts w:hint="eastAsia" w:ascii="宋体" w:hAnsi="宋体"/>
          <w:color w:val="auto"/>
          <w:szCs w:val="21"/>
          <w:highlight w:val="none"/>
          <w:u w:val="single"/>
        </w:rPr>
        <w:t xml:space="preserve">                </w:t>
      </w:r>
    </w:p>
    <w:p w14:paraId="7B2F052E">
      <w:pPr>
        <w:pStyle w:val="194"/>
        <w:spacing w:before="0" w:after="0" w:line="420" w:lineRule="exact"/>
        <w:rPr>
          <w:rFonts w:hint="eastAsia" w:ascii="宋体" w:hAnsi="宋体"/>
          <w:color w:val="auto"/>
          <w:szCs w:val="21"/>
          <w:highlight w:val="none"/>
        </w:rPr>
      </w:pPr>
      <w:r>
        <w:rPr>
          <w:rFonts w:hint="eastAsia" w:ascii="宋体" w:hAnsi="宋体"/>
          <w:color w:val="auto"/>
          <w:szCs w:val="21"/>
          <w:highlight w:val="none"/>
        </w:rPr>
        <w:t>根据贵方的</w:t>
      </w:r>
      <w:r>
        <w:rPr>
          <w:rFonts w:hint="eastAsia" w:ascii="宋体" w:hAnsi="宋体"/>
          <w:color w:val="auto"/>
          <w:szCs w:val="21"/>
          <w:highlight w:val="none"/>
          <w:lang w:eastAsia="zh-CN"/>
        </w:rPr>
        <w:t>JSZC-320981-CCGC-G2025-0062</w:t>
      </w:r>
      <w:r>
        <w:rPr>
          <w:rFonts w:hint="eastAsia" w:ascii="宋体" w:hAnsi="宋体"/>
          <w:color w:val="auto"/>
          <w:szCs w:val="21"/>
          <w:highlight w:val="none"/>
        </w:rPr>
        <w:t>号招标文件，正式授权下述签字人______(姓名)代表我方______________（投标人的名称），全权处理本次项目投标的有关事宜。</w:t>
      </w:r>
    </w:p>
    <w:p w14:paraId="7DD1FB91">
      <w:pPr>
        <w:pStyle w:val="194"/>
        <w:spacing w:before="0" w:after="0" w:line="420" w:lineRule="exact"/>
        <w:rPr>
          <w:rFonts w:hint="eastAsia" w:ascii="宋体" w:hAnsi="宋体"/>
          <w:color w:val="auto"/>
          <w:szCs w:val="21"/>
          <w:highlight w:val="none"/>
        </w:rPr>
      </w:pPr>
      <w:r>
        <w:rPr>
          <w:rFonts w:hint="eastAsia" w:ascii="宋体" w:hAnsi="宋体"/>
          <w:color w:val="auto"/>
          <w:szCs w:val="21"/>
          <w:highlight w:val="none"/>
        </w:rPr>
        <w:t>据此函，__________签字人兹宣布同意如下：</w:t>
      </w:r>
    </w:p>
    <w:p w14:paraId="5306FB9D">
      <w:pPr>
        <w:pStyle w:val="194"/>
        <w:spacing w:before="0" w:after="0" w:line="420" w:lineRule="exact"/>
        <w:rPr>
          <w:rFonts w:hint="eastAsia" w:ascii="宋体" w:hAnsi="宋体"/>
          <w:color w:val="auto"/>
          <w:szCs w:val="21"/>
          <w:highlight w:val="none"/>
        </w:rPr>
      </w:pPr>
      <w:r>
        <w:rPr>
          <w:rFonts w:hint="eastAsia" w:ascii="宋体" w:hAnsi="宋体"/>
          <w:color w:val="auto"/>
          <w:szCs w:val="21"/>
          <w:highlight w:val="none"/>
        </w:rPr>
        <w:t>1.按招标文件规定的各项要求，向买方提供所需服务（包含与服务相关的货物）。</w:t>
      </w:r>
    </w:p>
    <w:p w14:paraId="1A7FA45A">
      <w:pPr>
        <w:pStyle w:val="19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2.我们完全理解贵方不一定将合同授予最低报价的投标人。</w:t>
      </w:r>
    </w:p>
    <w:p w14:paraId="4F7F36A6">
      <w:pPr>
        <w:pStyle w:val="19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3.我们已详细审核全部招标文件及其有效补充文件，我们知道必须放弃提出含糊不清或误解问题的权利。</w:t>
      </w:r>
    </w:p>
    <w:p w14:paraId="5FF96B66">
      <w:pPr>
        <w:pStyle w:val="19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4.我们同意从规定的开标日期起遵循本投标文件，并在规定的投标有效期期满之前均具有约束力。</w:t>
      </w:r>
    </w:p>
    <w:p w14:paraId="75BBA801">
      <w:pPr>
        <w:pStyle w:val="19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5.同意向贵方提供贵方可能另外要求的与投标有关的任何证据或资料，并保证我方已提供和将要提供的文件是真实的、准确的。</w:t>
      </w:r>
    </w:p>
    <w:p w14:paraId="0CC907CE">
      <w:pPr>
        <w:pStyle w:val="19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6.一旦我方中标,我方将根据招标文件的规定，严格履行合同的责任和义务,并保证在招标文件规定的时间完成项目，交付买方验收、使用。</w:t>
      </w:r>
    </w:p>
    <w:p w14:paraId="1228AC44">
      <w:pPr>
        <w:pStyle w:val="19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7.与本投标有关的正式通讯地址为：</w:t>
      </w:r>
    </w:p>
    <w:p w14:paraId="3774DE6B">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地址：</w:t>
      </w:r>
    </w:p>
    <w:p w14:paraId="40E1FB68">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邮编：</w:t>
      </w:r>
    </w:p>
    <w:p w14:paraId="2147318F">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电话：</w:t>
      </w:r>
    </w:p>
    <w:p w14:paraId="154BE986">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传真：</w:t>
      </w:r>
    </w:p>
    <w:p w14:paraId="1B4ABFB0">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投标人开户行：</w:t>
      </w:r>
    </w:p>
    <w:p w14:paraId="4AF45F0D">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账户：                                      </w:t>
      </w:r>
    </w:p>
    <w:p w14:paraId="2097783F">
      <w:pPr>
        <w:spacing w:line="480" w:lineRule="exact"/>
        <w:ind w:firstLine="1680"/>
        <w:rPr>
          <w:rFonts w:hint="eastAsia" w:ascii="宋体" w:hAnsi="宋体" w:cs="宋体"/>
          <w:color w:val="auto"/>
          <w:sz w:val="24"/>
          <w:highlight w:val="none"/>
        </w:rPr>
      </w:pPr>
      <w:r>
        <w:rPr>
          <w:rFonts w:hint="eastAsia" w:ascii="宋体" w:hAnsi="宋体" w:cs="宋体"/>
          <w:color w:val="auto"/>
          <w:sz w:val="24"/>
          <w:highlight w:val="none"/>
        </w:rPr>
        <w:t>法定代表人或被授权人（签字）：</w:t>
      </w:r>
      <w:r>
        <w:rPr>
          <w:rFonts w:hint="eastAsia" w:ascii="宋体" w:hAnsi="宋体" w:cs="宋体"/>
          <w:color w:val="auto"/>
          <w:sz w:val="24"/>
          <w:highlight w:val="none"/>
          <w:u w:val="single"/>
        </w:rPr>
        <w:t xml:space="preserve">              </w:t>
      </w:r>
    </w:p>
    <w:p w14:paraId="68D5873A">
      <w:pPr>
        <w:spacing w:line="480" w:lineRule="exact"/>
        <w:rPr>
          <w:rFonts w:hint="eastAsia" w:ascii="宋体" w:hAnsi="宋体" w:cs="宋体"/>
          <w:color w:val="auto"/>
          <w:sz w:val="24"/>
          <w:highlight w:val="none"/>
        </w:rPr>
      </w:pPr>
    </w:p>
    <w:p w14:paraId="37F08380">
      <w:pPr>
        <w:spacing w:line="480" w:lineRule="exact"/>
        <w:ind w:firstLine="16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448F7202">
      <w:pPr>
        <w:spacing w:line="480" w:lineRule="exact"/>
        <w:rPr>
          <w:rFonts w:hint="eastAsia" w:ascii="宋体" w:hAnsi="宋体" w:cs="宋体"/>
          <w:color w:val="auto"/>
          <w:sz w:val="24"/>
          <w:highlight w:val="none"/>
        </w:rPr>
      </w:pPr>
    </w:p>
    <w:p w14:paraId="53FB8C1A">
      <w:pPr>
        <w:spacing w:line="480" w:lineRule="exact"/>
        <w:jc w:val="right"/>
        <w:outlineLvl w:val="1"/>
        <w:rPr>
          <w:rFonts w:hint="eastAsia" w:ascii="仿宋_GB2312" w:eastAsia="仿宋_GB2312"/>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仿宋_GB2312" w:eastAsia="仿宋_GB2312"/>
          <w:color w:val="auto"/>
          <w:sz w:val="24"/>
          <w:highlight w:val="none"/>
        </w:rPr>
        <w:t xml:space="preserve"> </w:t>
      </w:r>
    </w:p>
    <w:p w14:paraId="4885E000">
      <w:pPr>
        <w:pStyle w:val="33"/>
        <w:spacing w:beforeAutospacing="0" w:afterAutospacing="0" w:line="0" w:lineRule="atLeast"/>
        <w:ind w:firstLine="240"/>
        <w:jc w:val="center"/>
        <w:rPr>
          <w:color w:val="auto"/>
          <w:highlight w:val="none"/>
        </w:rPr>
      </w:pPr>
      <w:r>
        <w:rPr>
          <w:rFonts w:hint="eastAsia" w:ascii="黑体" w:hAnsi="宋体" w:eastAsia="黑体" w:cs="黑体"/>
          <w:b/>
          <w:color w:val="auto"/>
          <w:sz w:val="32"/>
          <w:szCs w:val="32"/>
          <w:highlight w:val="none"/>
        </w:rPr>
        <w:br w:type="page" w:clear="all"/>
      </w:r>
    </w:p>
    <w:p w14:paraId="79CB811E">
      <w:pPr>
        <w:pStyle w:val="3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val="en-US" w:eastAsia="zh-CN"/>
        </w:rPr>
        <w:t>十</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）（分包号：**）</w:t>
      </w:r>
    </w:p>
    <w:p w14:paraId="19AC5E28">
      <w:pPr>
        <w:spacing w:line="500" w:lineRule="exact"/>
        <w:ind w:firstLine="480"/>
        <w:jc w:val="both"/>
        <w:rPr>
          <w:rFonts w:hint="eastAsia"/>
          <w:color w:val="auto"/>
          <w:sz w:val="24"/>
          <w:highlight w:val="none"/>
        </w:rPr>
      </w:pPr>
    </w:p>
    <w:p w14:paraId="0312176F">
      <w:pPr>
        <w:spacing w:line="360" w:lineRule="auto"/>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w:t>
      </w:r>
      <w:r>
        <w:rPr>
          <w:rFonts w:hint="eastAsia"/>
          <w:color w:val="auto"/>
          <w:sz w:val="24"/>
          <w:highlight w:val="none"/>
          <w:lang w:eastAsia="zh-CN"/>
        </w:rPr>
        <w:t>〔2020〕46号</w:t>
      </w:r>
      <w:r>
        <w:rPr>
          <w:rFonts w:hint="eastAsia"/>
          <w:color w:val="auto"/>
          <w:sz w:val="24"/>
          <w:highlight w:val="none"/>
        </w:rPr>
        <w:t>)的规定，本公司（联合体）参加采购编号为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的</w:t>
      </w:r>
      <w:r>
        <w:rPr>
          <w:rFonts w:hint="eastAsia"/>
          <w:color w:val="auto"/>
          <w:sz w:val="24"/>
          <w:highlight w:val="none"/>
          <w:u w:val="single"/>
        </w:rPr>
        <w:t>（项目名称）</w:t>
      </w:r>
      <w:r>
        <w:rPr>
          <w:rFonts w:hint="eastAsia"/>
          <w:color w:val="auto"/>
          <w:sz w:val="24"/>
          <w:highlight w:val="none"/>
          <w:u w:val="single"/>
          <w:lang w:val="en-US" w:eastAsia="zh-CN"/>
        </w:rPr>
        <w:t xml:space="preserve">       </w:t>
      </w:r>
      <w:r>
        <w:rPr>
          <w:rFonts w:hint="eastAsia"/>
          <w:color w:val="auto"/>
          <w:sz w:val="24"/>
          <w:highlight w:val="none"/>
        </w:rPr>
        <w:t>的采购活动，提供的货物全部由符合政策要求的</w:t>
      </w:r>
      <w:r>
        <w:rPr>
          <w:rFonts w:hint="eastAsia"/>
          <w:color w:val="auto"/>
          <w:sz w:val="24"/>
          <w:highlight w:val="none"/>
          <w:lang w:val="en-US" w:eastAsia="zh-CN"/>
        </w:rPr>
        <w:t>中小</w:t>
      </w:r>
      <w:r>
        <w:rPr>
          <w:rFonts w:hint="eastAsia"/>
          <w:color w:val="auto"/>
          <w:sz w:val="24"/>
          <w:highlight w:val="none"/>
        </w:rPr>
        <w:t>企业制造。相关企业（含联合体中</w:t>
      </w:r>
      <w:r>
        <w:rPr>
          <w:rFonts w:hint="eastAsia"/>
          <w:color w:val="auto"/>
          <w:sz w:val="24"/>
          <w:highlight w:val="none"/>
          <w:lang w:val="en-US" w:eastAsia="zh-CN"/>
        </w:rPr>
        <w:t>的中小</w:t>
      </w:r>
      <w:r>
        <w:rPr>
          <w:rFonts w:hint="eastAsia"/>
          <w:color w:val="auto"/>
          <w:sz w:val="24"/>
          <w:highlight w:val="none"/>
        </w:rPr>
        <w:t>企业、签订分包意向协议的</w:t>
      </w:r>
      <w:r>
        <w:rPr>
          <w:rFonts w:hint="eastAsia"/>
          <w:color w:val="auto"/>
          <w:sz w:val="24"/>
          <w:highlight w:val="none"/>
          <w:lang w:val="en-US" w:eastAsia="zh-CN"/>
        </w:rPr>
        <w:t>中</w:t>
      </w:r>
      <w:r>
        <w:rPr>
          <w:rFonts w:hint="eastAsia"/>
          <w:color w:val="auto"/>
          <w:sz w:val="24"/>
          <w:highlight w:val="none"/>
        </w:rPr>
        <w:t>小企业）的具体情况如下：</w:t>
      </w:r>
    </w:p>
    <w:p w14:paraId="5308243A">
      <w:pPr>
        <w:pStyle w:val="33"/>
        <w:widowControl w:val="0"/>
        <w:spacing w:before="0" w:beforeAutospacing="0" w:after="0" w:afterAutospacing="0" w:line="360" w:lineRule="auto"/>
        <w:ind w:firstLine="36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0ECBE904">
      <w:pPr>
        <w:pStyle w:val="33"/>
        <w:widowControl w:val="0"/>
        <w:spacing w:before="0" w:beforeAutospacing="0" w:after="0" w:afterAutospacing="0" w:line="360" w:lineRule="auto"/>
        <w:ind w:firstLine="36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33FC62E2">
      <w:pPr>
        <w:pStyle w:val="33"/>
        <w:widowControl w:val="0"/>
        <w:spacing w:before="0" w:beforeAutospacing="0" w:after="0" w:afterAutospacing="0" w:line="360" w:lineRule="auto"/>
        <w:ind w:firstLine="360"/>
        <w:jc w:val="both"/>
        <w:rPr>
          <w:color w:val="auto"/>
          <w:highlight w:val="none"/>
        </w:rPr>
      </w:pPr>
      <w:r>
        <w:rPr>
          <w:rFonts w:hint="eastAsia"/>
          <w:color w:val="auto"/>
          <w:highlight w:val="none"/>
        </w:rPr>
        <w:t>……</w:t>
      </w:r>
    </w:p>
    <w:p w14:paraId="56E10065">
      <w:pPr>
        <w:pStyle w:val="33"/>
        <w:widowControl w:val="0"/>
        <w:spacing w:before="0" w:beforeAutospacing="0" w:after="0" w:afterAutospacing="0" w:line="360" w:lineRule="auto"/>
        <w:ind w:firstLine="36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60C2C506">
      <w:pPr>
        <w:pStyle w:val="33"/>
        <w:widowControl w:val="0"/>
        <w:spacing w:before="0" w:beforeAutospacing="0" w:after="0" w:afterAutospacing="0" w:line="360" w:lineRule="auto"/>
        <w:ind w:firstLine="360"/>
        <w:jc w:val="both"/>
        <w:rPr>
          <w:color w:val="auto"/>
          <w:highlight w:val="none"/>
        </w:rPr>
      </w:pPr>
      <w:r>
        <w:rPr>
          <w:rFonts w:hint="eastAsia"/>
          <w:color w:val="auto"/>
          <w:highlight w:val="none"/>
        </w:rPr>
        <w:t>本企业对上述声明内容的真实性负责。如有虚假，将依法承担相应责任</w:t>
      </w:r>
    </w:p>
    <w:p w14:paraId="055F4DA6">
      <w:pPr>
        <w:pStyle w:val="33"/>
        <w:widowControl w:val="0"/>
        <w:spacing w:before="0" w:beforeAutospacing="0" w:after="0" w:afterAutospacing="0" w:line="360" w:lineRule="auto"/>
        <w:ind w:right="720"/>
        <w:jc w:val="both"/>
        <w:rPr>
          <w:color w:val="auto"/>
          <w:highlight w:val="none"/>
        </w:rPr>
      </w:pPr>
      <w:r>
        <w:rPr>
          <w:color w:val="auto"/>
          <w:highlight w:val="none"/>
        </w:rPr>
        <w:t> </w:t>
      </w:r>
    </w:p>
    <w:p w14:paraId="14126D00">
      <w:pPr>
        <w:pStyle w:val="33"/>
        <w:widowControl w:val="0"/>
        <w:spacing w:before="0" w:beforeAutospacing="0" w:after="0" w:afterAutospacing="0" w:line="360" w:lineRule="auto"/>
        <w:ind w:right="180" w:firstLine="360"/>
        <w:jc w:val="right"/>
        <w:rPr>
          <w:color w:val="auto"/>
          <w:highlight w:val="none"/>
        </w:rPr>
      </w:pPr>
      <w:r>
        <w:rPr>
          <w:rFonts w:hint="eastAsia"/>
          <w:color w:val="auto"/>
          <w:highlight w:val="none"/>
        </w:rPr>
        <w:t>企业名称（加盖CA电子公章）：</w:t>
      </w:r>
    </w:p>
    <w:p w14:paraId="091A0974">
      <w:pPr>
        <w:pStyle w:val="33"/>
        <w:widowControl w:val="0"/>
        <w:spacing w:before="0" w:beforeAutospacing="0" w:after="0" w:afterAutospacing="0" w:line="360" w:lineRule="auto"/>
        <w:ind w:right="480" w:firstLine="5400"/>
        <w:jc w:val="both"/>
        <w:rPr>
          <w:color w:val="auto"/>
          <w:highlight w:val="none"/>
        </w:rPr>
      </w:pPr>
      <w:r>
        <w:rPr>
          <w:rFonts w:hint="eastAsia"/>
          <w:color w:val="auto"/>
          <w:highlight w:val="none"/>
        </w:rPr>
        <w:t>日  期：</w:t>
      </w:r>
    </w:p>
    <w:p w14:paraId="0858ACA1">
      <w:pPr>
        <w:pStyle w:val="33"/>
        <w:widowControl w:val="0"/>
        <w:spacing w:before="0" w:beforeAutospacing="0" w:after="0" w:afterAutospacing="0" w:line="360" w:lineRule="auto"/>
        <w:ind w:firstLine="360"/>
        <w:jc w:val="both"/>
        <w:rPr>
          <w:color w:val="auto"/>
          <w:highlight w:val="none"/>
        </w:rPr>
      </w:pPr>
      <w:r>
        <w:rPr>
          <w:color w:val="auto"/>
          <w:highlight w:val="none"/>
        </w:rPr>
        <w:t> </w:t>
      </w:r>
    </w:p>
    <w:p w14:paraId="0A2757E6">
      <w:pPr>
        <w:pStyle w:val="33"/>
        <w:widowControl w:val="0"/>
        <w:spacing w:before="0" w:beforeAutospacing="0" w:after="0" w:afterAutospacing="0" w:line="360" w:lineRule="auto"/>
        <w:ind w:firstLine="480"/>
        <w:jc w:val="both"/>
        <w:rPr>
          <w:color w:val="auto"/>
          <w:highlight w:val="none"/>
        </w:rPr>
      </w:pPr>
      <w:r>
        <w:rPr>
          <w:rFonts w:hint="eastAsia"/>
          <w:color w:val="auto"/>
          <w:highlight w:val="none"/>
        </w:rPr>
        <w:t>备注1：从业人员、营业收入、资产总额填报上一年度数据，无上一年度数据的新成立企业可不填报。</w:t>
      </w:r>
    </w:p>
    <w:p w14:paraId="1447A940">
      <w:pPr>
        <w:pStyle w:val="33"/>
        <w:widowControl w:val="0"/>
        <w:spacing w:before="0" w:beforeAutospacing="0" w:after="0" w:afterAutospacing="0" w:line="360" w:lineRule="auto"/>
        <w:ind w:firstLine="480"/>
        <w:jc w:val="both"/>
        <w:rPr>
          <w:color w:val="auto"/>
          <w:highlight w:val="none"/>
        </w:rPr>
      </w:pPr>
      <w:r>
        <w:rPr>
          <w:rFonts w:hint="eastAsia"/>
          <w:color w:val="auto"/>
          <w:highlight w:val="none"/>
        </w:rPr>
        <w:t>备注2：供应商如不提供此声明函，价格将不做相应扣除（如项目全面面向中小企业，则资格审查不通过）。</w:t>
      </w:r>
    </w:p>
    <w:p w14:paraId="59054A94">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p>
    <w:p w14:paraId="58D69F20">
      <w:pPr>
        <w:pStyle w:val="3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一</w:t>
      </w:r>
      <w:r>
        <w:rPr>
          <w:rFonts w:hint="eastAsia" w:ascii="黑体" w:hAnsi="宋体" w:eastAsia="黑体" w:cs="黑体"/>
          <w:b/>
          <w:color w:val="auto"/>
          <w:sz w:val="32"/>
          <w:szCs w:val="32"/>
          <w:highlight w:val="none"/>
        </w:rPr>
        <w:t>、残疾人福利性单位声明函（分包号：**）</w:t>
      </w:r>
    </w:p>
    <w:p w14:paraId="3BDC2AAB">
      <w:pPr>
        <w:pStyle w:val="33"/>
        <w:spacing w:beforeAutospacing="0" w:afterAutospacing="0" w:line="360" w:lineRule="auto"/>
        <w:ind w:firstLine="480"/>
        <w:jc w:val="both"/>
        <w:rPr>
          <w:color w:val="auto"/>
          <w:highlight w:val="none"/>
        </w:rPr>
      </w:pPr>
      <w:r>
        <w:rPr>
          <w:rFonts w:hint="eastAsia" w:ascii="宋体" w:hAnsi="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highlight w:val="none"/>
          <w:u w:val="single"/>
        </w:rPr>
        <w:t xml:space="preserve">       </w:t>
      </w:r>
      <w:r>
        <w:rPr>
          <w:rFonts w:hint="eastAsia" w:ascii="宋体" w:hAnsi="宋体" w:cs="宋体"/>
          <w:color w:val="auto"/>
          <w:highlight w:val="none"/>
        </w:rPr>
        <w:t>项目（分包号：**）采购活动提供本单位制造的货物，或者提供其他残疾人福利性单位制造的货物（不包括使用非残疾人福利性单位注册商标的货物）。</w:t>
      </w:r>
    </w:p>
    <w:p w14:paraId="759BF75A">
      <w:pPr>
        <w:pStyle w:val="33"/>
        <w:spacing w:beforeAutospacing="0" w:afterAutospacing="0" w:line="360" w:lineRule="auto"/>
        <w:ind w:firstLine="480"/>
        <w:jc w:val="both"/>
        <w:rPr>
          <w:color w:val="auto"/>
          <w:highlight w:val="none"/>
        </w:rPr>
      </w:pPr>
      <w:r>
        <w:rPr>
          <w:rFonts w:hint="eastAsia" w:ascii="宋体" w:hAnsi="宋体" w:cs="宋体"/>
          <w:color w:val="auto"/>
          <w:highlight w:val="none"/>
        </w:rPr>
        <w:t>本单位对上述声明的真实性负责。如有虚假，将依法承担相应责任。</w:t>
      </w:r>
    </w:p>
    <w:p w14:paraId="2D3BAEE1">
      <w:pPr>
        <w:pStyle w:val="33"/>
        <w:spacing w:beforeAutospacing="0" w:afterAutospacing="0" w:line="360" w:lineRule="auto"/>
        <w:ind w:firstLine="480"/>
        <w:jc w:val="both"/>
        <w:rPr>
          <w:color w:val="auto"/>
          <w:highlight w:val="none"/>
        </w:rPr>
      </w:pPr>
      <w:r>
        <w:rPr>
          <w:color w:val="auto"/>
          <w:highlight w:val="none"/>
        </w:rPr>
        <w:t> </w:t>
      </w:r>
    </w:p>
    <w:p w14:paraId="1CA7389D">
      <w:pPr>
        <w:pStyle w:val="33"/>
        <w:spacing w:beforeAutospacing="0" w:afterAutospacing="0" w:line="360" w:lineRule="auto"/>
        <w:ind w:firstLine="480"/>
        <w:jc w:val="both"/>
        <w:rPr>
          <w:color w:val="auto"/>
          <w:highlight w:val="none"/>
        </w:rPr>
      </w:pPr>
      <w:r>
        <w:rPr>
          <w:rFonts w:hint="eastAsia" w:ascii="宋体" w:hAnsi="宋体" w:cs="宋体"/>
          <w:color w:val="auto"/>
          <w:highlight w:val="none"/>
        </w:rPr>
        <w:t>（备注：1、供应商如不提供此声明函，价格将不做相应扣除。2、中标供应商为残疾人福利单位的，此声明函将随中标结果同时公告，接受社会监督）</w:t>
      </w:r>
    </w:p>
    <w:p w14:paraId="3C6A5958">
      <w:pPr>
        <w:pStyle w:val="33"/>
        <w:spacing w:beforeAutospacing="0" w:afterAutospacing="0" w:line="360" w:lineRule="auto"/>
        <w:ind w:firstLine="624"/>
        <w:jc w:val="both"/>
        <w:rPr>
          <w:color w:val="auto"/>
          <w:highlight w:val="none"/>
        </w:rPr>
      </w:pPr>
      <w:r>
        <w:rPr>
          <w:color w:val="auto"/>
          <w:highlight w:val="none"/>
        </w:rPr>
        <w:t> </w:t>
      </w:r>
    </w:p>
    <w:p w14:paraId="041D0094">
      <w:pPr>
        <w:pStyle w:val="33"/>
        <w:tabs>
          <w:tab w:val="left" w:pos="4864"/>
        </w:tabs>
        <w:spacing w:beforeAutospacing="0" w:afterAutospacing="0" w:line="360" w:lineRule="auto"/>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cs="宋体"/>
          <w:color w:val="auto"/>
          <w:highlight w:val="none"/>
        </w:rPr>
        <w:t>          供应商全称（加盖CA电子公章）：</w:t>
      </w:r>
    </w:p>
    <w:p w14:paraId="605634D4">
      <w:pPr>
        <w:pStyle w:val="33"/>
        <w:tabs>
          <w:tab w:val="left" w:pos="4864"/>
        </w:tabs>
        <w:spacing w:beforeAutospacing="0" w:afterAutospacing="0" w:line="360" w:lineRule="auto"/>
        <w:ind w:right="1560" w:firstLine="480"/>
        <w:jc w:val="center"/>
        <w:rPr>
          <w:color w:val="auto"/>
          <w:highlight w:val="none"/>
        </w:rPr>
      </w:pPr>
      <w:r>
        <w:rPr>
          <w:rFonts w:hint="eastAsia" w:ascii="宋体" w:hAnsi="宋体" w:cs="宋体"/>
          <w:color w:val="auto"/>
          <w:highlight w:val="none"/>
        </w:rPr>
        <w:t>        日  期：</w:t>
      </w:r>
    </w:p>
    <w:p w14:paraId="4CFFF906">
      <w:pPr>
        <w:pStyle w:val="33"/>
        <w:spacing w:beforeAutospacing="0" w:afterAutospacing="0" w:line="0" w:lineRule="atLeast"/>
        <w:jc w:val="center"/>
        <w:rPr>
          <w:color w:val="auto"/>
          <w:highlight w:val="none"/>
        </w:rPr>
      </w:pPr>
      <w:r>
        <w:rPr>
          <w:color w:val="auto"/>
          <w:highlight w:val="none"/>
        </w:rPr>
        <w:t> </w:t>
      </w:r>
    </w:p>
    <w:p w14:paraId="422F3FE9">
      <w:pPr>
        <w:pStyle w:val="33"/>
        <w:spacing w:beforeAutospacing="0" w:afterAutospacing="0" w:line="0" w:lineRule="atLeast"/>
        <w:jc w:val="center"/>
        <w:rPr>
          <w:color w:val="auto"/>
          <w:highlight w:val="none"/>
        </w:rPr>
      </w:pPr>
      <w:r>
        <w:rPr>
          <w:color w:val="auto"/>
          <w:highlight w:val="none"/>
        </w:rPr>
        <w:t> </w:t>
      </w:r>
    </w:p>
    <w:p w14:paraId="7B8F3E09">
      <w:pPr>
        <w:pStyle w:val="33"/>
        <w:spacing w:beforeAutospacing="0" w:afterAutospacing="0" w:line="0" w:lineRule="atLeast"/>
        <w:jc w:val="center"/>
        <w:rPr>
          <w:color w:val="auto"/>
          <w:highlight w:val="none"/>
        </w:rPr>
      </w:pPr>
      <w:r>
        <w:rPr>
          <w:color w:val="auto"/>
          <w:highlight w:val="none"/>
        </w:rPr>
        <w:t> </w:t>
      </w:r>
    </w:p>
    <w:p w14:paraId="7ECA5917">
      <w:pPr>
        <w:pStyle w:val="3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、联合体协议（参考格式）（分包号：**）</w:t>
      </w:r>
    </w:p>
    <w:p w14:paraId="014AC017">
      <w:pPr>
        <w:pStyle w:val="33"/>
        <w:spacing w:beforeAutospacing="0" w:afterAutospacing="0" w:line="0" w:lineRule="atLeast"/>
        <w:jc w:val="both"/>
        <w:rPr>
          <w:color w:val="auto"/>
          <w:highlight w:val="none"/>
        </w:rPr>
      </w:pPr>
      <w:r>
        <w:rPr>
          <w:rFonts w:hint="eastAsia" w:ascii="宋体" w:hAnsi="宋体" w:eastAsia="宋体" w:cs="宋体"/>
          <w:color w:val="auto"/>
          <w:highlight w:val="none"/>
        </w:rPr>
        <w:t>（联合体中各供应商全称）在此达成以下协议：</w:t>
      </w:r>
    </w:p>
    <w:p w14:paraId="4A4DF8D2">
      <w:pPr>
        <w:pStyle w:val="3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自愿组成联合体，参加盐城市政府采购中心组织的采购编号为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项目（分包号：**）的政府采购活动，我联合体指定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26A4C19F">
      <w:pPr>
        <w:pStyle w:val="3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3E6915B6">
      <w:pPr>
        <w:pStyle w:val="3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3938936">
      <w:pPr>
        <w:pStyle w:val="33"/>
        <w:spacing w:beforeAutospacing="0" w:afterAutospacing="0" w:line="0" w:lineRule="atLeast"/>
        <w:ind w:firstLine="645"/>
        <w:jc w:val="both"/>
        <w:rPr>
          <w:color w:val="auto"/>
          <w:highlight w:val="none"/>
        </w:rPr>
      </w:pPr>
      <w:r>
        <w:rPr>
          <w:color w:val="auto"/>
          <w:highlight w:val="none"/>
        </w:rPr>
        <w:t> </w:t>
      </w:r>
    </w:p>
    <w:p w14:paraId="176E95C2">
      <w:pPr>
        <w:pStyle w:val="3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备注：本招标文件中要求加盖CA电子签章的地方，仅需加盖牵头单位的CA电子签章。</w:t>
      </w:r>
    </w:p>
    <w:p w14:paraId="3ACD6D28">
      <w:pPr>
        <w:pStyle w:val="3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xml:space="preserve">                                          </w:t>
      </w:r>
    </w:p>
    <w:p w14:paraId="7560B54C">
      <w:pPr>
        <w:pStyle w:val="33"/>
        <w:spacing w:beforeAutospacing="0" w:afterAutospacing="0" w:line="0" w:lineRule="atLeast"/>
        <w:ind w:firstLine="645"/>
        <w:jc w:val="right"/>
        <w:rPr>
          <w:color w:val="auto"/>
          <w:highlight w:val="none"/>
        </w:rPr>
      </w:pPr>
      <w:r>
        <w:rPr>
          <w:rFonts w:hint="eastAsia" w:ascii="宋体" w:hAnsi="宋体" w:eastAsia="宋体" w:cs="宋体"/>
          <w:color w:val="auto"/>
          <w:highlight w:val="none"/>
        </w:rPr>
        <w:t xml:space="preserve">联合体中各供应商全称（公章）：     </w:t>
      </w:r>
    </w:p>
    <w:p w14:paraId="1F6F0234">
      <w:pPr>
        <w:pStyle w:val="3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日期：</w:t>
      </w:r>
    </w:p>
    <w:p w14:paraId="749498CE">
      <w:pPr>
        <w:pStyle w:val="33"/>
        <w:spacing w:beforeAutospacing="0" w:afterAutospacing="0" w:line="0" w:lineRule="atLeast"/>
        <w:ind w:firstLine="645"/>
        <w:jc w:val="both"/>
        <w:rPr>
          <w:color w:val="auto"/>
          <w:highlight w:val="none"/>
        </w:rPr>
      </w:pPr>
      <w:r>
        <w:rPr>
          <w:color w:val="auto"/>
          <w:highlight w:val="none"/>
        </w:rPr>
        <w:t> </w:t>
      </w:r>
    </w:p>
    <w:p w14:paraId="7049AA27">
      <w:pPr>
        <w:pStyle w:val="33"/>
        <w:spacing w:beforeAutospacing="0" w:afterAutospacing="0" w:line="0" w:lineRule="atLeast"/>
        <w:jc w:val="both"/>
        <w:rPr>
          <w:color w:val="auto"/>
          <w:highlight w:val="none"/>
        </w:rPr>
      </w:pPr>
      <w:r>
        <w:rPr>
          <w:color w:val="auto"/>
          <w:highlight w:val="none"/>
        </w:rPr>
        <w:t> </w:t>
      </w:r>
    </w:p>
    <w:p w14:paraId="52886763">
      <w:pPr>
        <w:pStyle w:val="33"/>
        <w:spacing w:beforeAutospacing="0" w:afterAutospacing="0" w:line="0" w:lineRule="atLeast"/>
        <w:jc w:val="both"/>
        <w:rPr>
          <w:color w:val="auto"/>
          <w:highlight w:val="none"/>
        </w:rPr>
      </w:pPr>
      <w:r>
        <w:rPr>
          <w:color w:val="auto"/>
          <w:highlight w:val="none"/>
        </w:rPr>
        <w:t> </w:t>
      </w:r>
    </w:p>
    <w:p w14:paraId="4F2C60D3">
      <w:pPr>
        <w:pStyle w:val="33"/>
        <w:spacing w:beforeAutospacing="0" w:afterAutospacing="0" w:line="0" w:lineRule="atLeast"/>
        <w:jc w:val="both"/>
        <w:rPr>
          <w:color w:val="auto"/>
          <w:highlight w:val="none"/>
        </w:rPr>
      </w:pPr>
      <w:r>
        <w:rPr>
          <w:color w:val="auto"/>
          <w:highlight w:val="none"/>
        </w:rPr>
        <w:t> </w:t>
      </w:r>
    </w:p>
    <w:p w14:paraId="5F151386">
      <w:pPr>
        <w:pStyle w:val="33"/>
        <w:spacing w:beforeAutospacing="0" w:afterAutospacing="0" w:line="0" w:lineRule="atLeast"/>
        <w:jc w:val="both"/>
        <w:rPr>
          <w:color w:val="auto"/>
          <w:highlight w:val="none"/>
        </w:rPr>
      </w:pPr>
      <w:r>
        <w:rPr>
          <w:color w:val="auto"/>
          <w:highlight w:val="none"/>
        </w:rPr>
        <w:t> </w:t>
      </w:r>
    </w:p>
    <w:p w14:paraId="23A91192">
      <w:pPr>
        <w:pStyle w:val="33"/>
        <w:spacing w:beforeAutospacing="0" w:afterAutospacing="0" w:line="0" w:lineRule="atLeast"/>
        <w:jc w:val="both"/>
        <w:rPr>
          <w:color w:val="auto"/>
          <w:highlight w:val="none"/>
        </w:rPr>
      </w:pPr>
    </w:p>
    <w:p w14:paraId="3E285AE8">
      <w:pPr>
        <w:pStyle w:val="33"/>
        <w:spacing w:beforeAutospacing="0" w:afterAutospacing="0" w:line="0" w:lineRule="atLeast"/>
        <w:jc w:val="both"/>
        <w:rPr>
          <w:color w:val="auto"/>
          <w:highlight w:val="none"/>
        </w:rPr>
      </w:pPr>
    </w:p>
    <w:p w14:paraId="56D831D6">
      <w:pPr>
        <w:pStyle w:val="33"/>
        <w:spacing w:beforeAutospacing="0" w:afterAutospacing="0" w:line="0" w:lineRule="atLeast"/>
        <w:jc w:val="both"/>
        <w:rPr>
          <w:color w:val="auto"/>
          <w:highlight w:val="none"/>
        </w:rPr>
      </w:pPr>
    </w:p>
    <w:p w14:paraId="43D07DFF">
      <w:pPr>
        <w:pStyle w:val="33"/>
        <w:spacing w:beforeAutospacing="0" w:afterAutospacing="0" w:line="0" w:lineRule="atLeast"/>
        <w:jc w:val="both"/>
        <w:rPr>
          <w:color w:val="auto"/>
          <w:highlight w:val="none"/>
        </w:rPr>
      </w:pPr>
    </w:p>
    <w:p w14:paraId="6719B5BC">
      <w:pPr>
        <w:pStyle w:val="33"/>
        <w:spacing w:beforeAutospacing="0" w:afterAutospacing="0" w:line="0" w:lineRule="atLeast"/>
        <w:jc w:val="both"/>
        <w:rPr>
          <w:color w:val="auto"/>
          <w:highlight w:val="none"/>
        </w:rPr>
      </w:pPr>
    </w:p>
    <w:p w14:paraId="70CD90E6">
      <w:pPr>
        <w:pStyle w:val="33"/>
        <w:spacing w:beforeAutospacing="0" w:afterAutospacing="0" w:line="0" w:lineRule="atLeast"/>
        <w:jc w:val="both"/>
        <w:rPr>
          <w:color w:val="auto"/>
          <w:highlight w:val="none"/>
        </w:rPr>
      </w:pPr>
    </w:p>
    <w:p w14:paraId="3DAFD731">
      <w:pPr>
        <w:pStyle w:val="33"/>
        <w:spacing w:beforeAutospacing="0" w:afterAutospacing="0" w:line="0" w:lineRule="atLeast"/>
        <w:jc w:val="both"/>
        <w:rPr>
          <w:color w:val="auto"/>
          <w:highlight w:val="none"/>
        </w:rPr>
      </w:pPr>
    </w:p>
    <w:p w14:paraId="7112C2D0">
      <w:pPr>
        <w:pStyle w:val="33"/>
        <w:spacing w:beforeAutospacing="0" w:afterAutospacing="0" w:line="0" w:lineRule="atLeast"/>
        <w:jc w:val="both"/>
        <w:rPr>
          <w:color w:val="auto"/>
          <w:highlight w:val="none"/>
        </w:rPr>
      </w:pPr>
    </w:p>
    <w:p w14:paraId="63E04879">
      <w:pPr>
        <w:pStyle w:val="33"/>
        <w:spacing w:beforeAutospacing="0" w:afterAutospacing="0" w:line="0" w:lineRule="atLeast"/>
        <w:jc w:val="both"/>
        <w:rPr>
          <w:color w:val="auto"/>
          <w:highlight w:val="none"/>
        </w:rPr>
      </w:pPr>
    </w:p>
    <w:p w14:paraId="5A6E2A0D">
      <w:pPr>
        <w:pStyle w:val="33"/>
        <w:spacing w:beforeAutospacing="0" w:afterAutospacing="0" w:line="0" w:lineRule="atLeast"/>
        <w:jc w:val="both"/>
        <w:rPr>
          <w:color w:val="auto"/>
          <w:highlight w:val="none"/>
        </w:rPr>
      </w:pPr>
    </w:p>
    <w:p w14:paraId="679B40BD">
      <w:pPr>
        <w:pStyle w:val="33"/>
        <w:spacing w:beforeAutospacing="0" w:afterAutospacing="0" w:line="0" w:lineRule="atLeast"/>
        <w:jc w:val="both"/>
        <w:rPr>
          <w:color w:val="auto"/>
          <w:highlight w:val="none"/>
        </w:rPr>
      </w:pPr>
    </w:p>
    <w:p w14:paraId="13504627">
      <w:pPr>
        <w:pStyle w:val="33"/>
        <w:spacing w:beforeAutospacing="0" w:afterAutospacing="0" w:line="0" w:lineRule="atLeast"/>
        <w:jc w:val="both"/>
        <w:rPr>
          <w:color w:val="auto"/>
          <w:highlight w:val="none"/>
        </w:rPr>
      </w:pPr>
    </w:p>
    <w:p w14:paraId="165CA566">
      <w:pPr>
        <w:pStyle w:val="33"/>
        <w:spacing w:beforeAutospacing="0" w:afterAutospacing="0" w:line="0" w:lineRule="atLeast"/>
        <w:jc w:val="both"/>
        <w:rPr>
          <w:color w:val="auto"/>
          <w:highlight w:val="none"/>
        </w:rPr>
      </w:pPr>
    </w:p>
    <w:p w14:paraId="583FA525">
      <w:pPr>
        <w:pStyle w:val="33"/>
        <w:spacing w:beforeAutospacing="0" w:afterAutospacing="0" w:line="0" w:lineRule="atLeast"/>
        <w:jc w:val="both"/>
        <w:rPr>
          <w:color w:val="auto"/>
          <w:highlight w:val="none"/>
        </w:rPr>
      </w:pPr>
    </w:p>
    <w:p w14:paraId="1610FFEA">
      <w:pPr>
        <w:pStyle w:val="33"/>
        <w:spacing w:beforeAutospacing="0" w:afterAutospacing="0" w:line="0" w:lineRule="atLeast"/>
        <w:jc w:val="both"/>
        <w:rPr>
          <w:color w:val="auto"/>
          <w:highlight w:val="none"/>
        </w:rPr>
      </w:pPr>
    </w:p>
    <w:p w14:paraId="272239F4">
      <w:pPr>
        <w:pStyle w:val="33"/>
        <w:spacing w:beforeAutospacing="0" w:afterAutospacing="0" w:line="0" w:lineRule="atLeast"/>
        <w:jc w:val="both"/>
        <w:rPr>
          <w:color w:val="auto"/>
          <w:highlight w:val="none"/>
        </w:rPr>
      </w:pPr>
    </w:p>
    <w:p w14:paraId="5CA0F9C4">
      <w:pPr>
        <w:pStyle w:val="33"/>
        <w:spacing w:beforeAutospacing="0" w:afterAutospacing="0" w:line="0" w:lineRule="atLeast"/>
        <w:jc w:val="both"/>
        <w:rPr>
          <w:color w:val="auto"/>
          <w:highlight w:val="none"/>
        </w:rPr>
      </w:pPr>
      <w:r>
        <w:rPr>
          <w:color w:val="auto"/>
          <w:highlight w:val="none"/>
        </w:rPr>
        <w:t> </w:t>
      </w:r>
    </w:p>
    <w:p w14:paraId="03A7919F">
      <w:pPr>
        <w:pStyle w:val="33"/>
        <w:spacing w:beforeAutospacing="0" w:afterAutospacing="0" w:line="0" w:lineRule="atLeast"/>
        <w:jc w:val="both"/>
        <w:rPr>
          <w:color w:val="auto"/>
          <w:highlight w:val="none"/>
        </w:rPr>
      </w:pPr>
      <w:r>
        <w:rPr>
          <w:color w:val="auto"/>
          <w:highlight w:val="none"/>
        </w:rPr>
        <w:t> </w:t>
      </w:r>
    </w:p>
    <w:p w14:paraId="03EA0D86">
      <w:pPr>
        <w:pStyle w:val="33"/>
        <w:spacing w:beforeAutospacing="0" w:afterAutospacing="0"/>
        <w:jc w:val="both"/>
        <w:rPr>
          <w:color w:val="auto"/>
          <w:highlight w:val="none"/>
        </w:rPr>
      </w:pPr>
      <w:r>
        <w:rPr>
          <w:color w:val="auto"/>
          <w:highlight w:val="none"/>
        </w:rPr>
        <w:t> </w:t>
      </w:r>
    </w:p>
    <w:p w14:paraId="31C126E6">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p>
    <w:p w14:paraId="6F1DC7B2">
      <w:pPr>
        <w:pStyle w:val="3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、投标分项报价表（分包号：***）</w:t>
      </w:r>
    </w:p>
    <w:tbl>
      <w:tblPr>
        <w:tblStyle w:val="35"/>
        <w:tblW w:w="9217" w:type="dxa"/>
        <w:jc w:val="center"/>
        <w:tblCellSpacing w:w="0" w:type="dxa"/>
        <w:tblLayout w:type="fixed"/>
        <w:tblCellMar>
          <w:top w:w="0" w:type="dxa"/>
          <w:left w:w="108" w:type="dxa"/>
          <w:bottom w:w="0" w:type="dxa"/>
          <w:right w:w="108" w:type="dxa"/>
        </w:tblCellMar>
      </w:tblPr>
      <w:tblGrid>
        <w:gridCol w:w="591"/>
        <w:gridCol w:w="1078"/>
        <w:gridCol w:w="979"/>
        <w:gridCol w:w="1405"/>
        <w:gridCol w:w="807"/>
        <w:gridCol w:w="993"/>
        <w:gridCol w:w="753"/>
        <w:gridCol w:w="1365"/>
        <w:gridCol w:w="1246"/>
      </w:tblGrid>
      <w:tr w14:paraId="4A9385ED">
        <w:tblPrEx>
          <w:tblCellMar>
            <w:top w:w="0" w:type="dxa"/>
            <w:left w:w="108" w:type="dxa"/>
            <w:bottom w:w="0" w:type="dxa"/>
            <w:right w:w="108" w:type="dxa"/>
          </w:tblCellMar>
        </w:tblPrEx>
        <w:trPr>
          <w:trHeight w:val="325" w:hRule="atLeast"/>
          <w:tblCellSpacing w:w="0" w:type="dxa"/>
          <w:jc w:val="center"/>
        </w:trPr>
        <w:tc>
          <w:tcPr>
            <w:tcW w:w="591" w:type="dxa"/>
            <w:vMerge w:val="restart"/>
            <w:tcBorders>
              <w:top w:val="single" w:color="000000" w:sz="4" w:space="0"/>
              <w:left w:val="single" w:color="000000" w:sz="4" w:space="0"/>
              <w:right w:val="single" w:color="000000" w:sz="4" w:space="0"/>
            </w:tcBorders>
            <w:shd w:val="clear" w:color="auto" w:fill="auto"/>
            <w:noWrap w:val="0"/>
            <w:vAlign w:val="center"/>
          </w:tcPr>
          <w:p w14:paraId="21E3FD6E">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55924">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FC5A18">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4284C">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2CB08A">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9FA4DE">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493EC">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4AA3C">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C5A2D">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p>
        </w:tc>
      </w:tr>
      <w:tr w14:paraId="0591086C">
        <w:tblPrEx>
          <w:tblCellMar>
            <w:top w:w="0" w:type="dxa"/>
            <w:left w:w="108" w:type="dxa"/>
            <w:bottom w:w="0" w:type="dxa"/>
            <w:right w:w="108" w:type="dxa"/>
          </w:tblCellMar>
        </w:tblPrEx>
        <w:trPr>
          <w:trHeight w:val="288" w:hRule="atLeast"/>
          <w:tblCellSpacing w:w="0" w:type="dxa"/>
          <w:jc w:val="center"/>
        </w:trPr>
        <w:tc>
          <w:tcPr>
            <w:tcW w:w="591" w:type="dxa"/>
            <w:vMerge w:val="continue"/>
            <w:tcBorders>
              <w:left w:val="single" w:color="000000" w:sz="4" w:space="0"/>
              <w:bottom w:val="single" w:color="000000" w:sz="4" w:space="0"/>
              <w:right w:val="single" w:color="000000" w:sz="4" w:space="0"/>
            </w:tcBorders>
            <w:shd w:val="clear" w:color="auto" w:fill="auto"/>
            <w:noWrap w:val="0"/>
            <w:vAlign w:val="center"/>
          </w:tcPr>
          <w:p w14:paraId="18F6765D">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ED3A1D">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产品</w:t>
            </w:r>
          </w:p>
          <w:p w14:paraId="0FF01B00">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名称</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E0D38">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品牌</w:t>
            </w: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DA3D0A">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规格</w:t>
            </w:r>
          </w:p>
          <w:p w14:paraId="6012F7A2">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型号</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4C8680">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产地</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EDB3F">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交付期</w:t>
            </w: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F001A">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6ED7E">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分项单价</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9ADD1B">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分项总价</w:t>
            </w:r>
          </w:p>
        </w:tc>
      </w:tr>
      <w:tr w14:paraId="0DCF3F13">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AD435F">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FB261F">
            <w:pPr>
              <w:widowControl/>
              <w:jc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穿戴式学生VR终端</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372680">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F26071">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1DE2BF">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14C3B5">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A5EFA1">
            <w:pPr>
              <w:widowControl/>
              <w:jc w:val="center"/>
              <w:rPr>
                <w:rFonts w:hint="eastAsia" w:ascii="宋体" w:hAnsi="宋体" w:eastAsia="宋体" w:cs="宋体"/>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50台</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D28805">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DA6F7C">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362AD6FE">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F9B39E">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B024FE">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穿戴式学生VR终端系统</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5F7EF7">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3270A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D0841">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637A39">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7C8F96">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50套</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A1B8E">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D7D2B2">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2BFBF916">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FD2CB2">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3</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35FF09">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教师端VR教学管理系统</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37F01">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0C6C3">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56C76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D75D6B">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012F1D">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1套</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120FE4">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5020E">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576A62BF">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DDFC77">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4</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D813FA">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融合学科VR教学资源</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8D79B">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F6651F">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F9A26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33B6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1B1CAA">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1套</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3A530">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D9847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64DFA130">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48BE3">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5</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DF7F5E">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小学科学VR教学系统</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02B3B">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DAAB78">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4D3A77">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DD4FC">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EBEE9A">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1套</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186A56">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91757">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7BE49F97">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B916F1">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6</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D95626">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设备充电消毒一体柜</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F95207">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B0AFB2">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51142">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DD2AB8">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E7952B">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2台</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79366E">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017822">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278B7CCE">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6B35AD">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7</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8AF77E">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无线AP</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EBD371">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6965CE">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16704E">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5799B">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DA3F8B">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2台</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59FE94">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C78F8">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0FEC1E49">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CBB09B">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8</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3C104D">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裸眼XR便携终端</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041ED2">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35BE3">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858DBF">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AB11B3">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392B02">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2台</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F65C4F">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81D49">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7712C595">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E475B">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9</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575234">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裸眼XR便携终端配件包</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D833F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C57013">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70DEBB">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3D86F3">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4CB4BF">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2套</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5D684">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B14FC">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6290C9D4">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48ECFD">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10</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250AB5">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偏振式3DVR便携式终端</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5438B">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16AFD">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30B88D">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B8284">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D9E22">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14套</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FC2B5">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6D960F">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6A12F1CC">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E2CF0F">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11</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F57C91">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观察眼镜</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F5A101">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98B137">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2609C">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4342E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4C071D">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60副</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79710">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16128E">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070DF64E">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FE50B">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12</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7657E2">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VR资源制作软件</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8427BB">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29F4C9">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1A650">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530B39">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572DF2">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1套</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BDC717">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8651F">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7608A6AE">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23E0F">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13</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BE2D17">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3D 智慧黑板</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BF0BAA">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F15DAD">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AD087B">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67EF51">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4FDD44">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2台</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6286CF">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2C4C4">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562B33EB">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E3C9FA">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14</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57BE4">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八边形操作台</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0A99F">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E98628">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43DFC1">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014C11">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BCB10A">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12套</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25A53E">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1FF72">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3EF647BA">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A3E087">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15</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2B8FBC">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全钢讲台</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879D27">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D86B31">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BFB409">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DA7D8F">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AC21C">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2台</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F6EBB5">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3372D4">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1BDA28EB">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FEC05A">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16</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35322">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学生凳</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09304D">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4EB78">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10B8A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CD7C58">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A98840">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96个</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9DDB6">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99F654">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27F5A1C4">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FCD22F">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17</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CC62E">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储物柜</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D3F74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4DB764">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751FB5">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19B73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EAA98">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2套</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89BC95">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C2097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137EE31B">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4D4738">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18</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0899E4">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教室文化环境布置</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CDA4B">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5DDFC5">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44C8F2">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29E94">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894E4F">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80平方</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CF458">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AF331">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015EFB1E">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1BE43">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19</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DCE1DE">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铝方通造型</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68D3C1">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BBA02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37DA3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DA6E10">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C756F7">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170平米</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8A167E">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247691">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4C8E4812">
        <w:tblPrEx>
          <w:tblCellMar>
            <w:top w:w="0" w:type="dxa"/>
            <w:left w:w="108" w:type="dxa"/>
            <w:bottom w:w="0" w:type="dxa"/>
            <w:right w:w="108" w:type="dxa"/>
          </w:tblCellMar>
        </w:tblPrEx>
        <w:trPr>
          <w:trHeight w:val="426" w:hRule="atLeast"/>
          <w:tblCellSpacing w:w="0" w:type="dxa"/>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AC5CD">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20</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652931">
            <w:pPr>
              <w:widowControl/>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室内地板</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8EE8E">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DD456">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715139">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F228DD">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lang w:val="en-US" w:eastAsia="zh-CN" w:bidi="ar-SA"/>
              </w:rPr>
            </w:pPr>
          </w:p>
        </w:tc>
        <w:tc>
          <w:tcPr>
            <w:tcW w:w="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2328D9">
            <w:pPr>
              <w:widowControl/>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170平米</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CB9FB9">
            <w:pPr>
              <w:widowControl/>
              <w:jc w:val="center"/>
              <w:rPr>
                <w:rFonts w:hint="eastAsia" w:ascii="宋体" w:hAnsi="宋体" w:eastAsia="宋体" w:cs="宋体"/>
                <w:color w:val="auto"/>
                <w:sz w:val="18"/>
                <w:szCs w:val="18"/>
                <w:highlight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B2B514">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r w14:paraId="3B66A414">
        <w:tblPrEx>
          <w:tblCellMar>
            <w:top w:w="0" w:type="dxa"/>
            <w:left w:w="108" w:type="dxa"/>
            <w:bottom w:w="0" w:type="dxa"/>
            <w:right w:w="108" w:type="dxa"/>
          </w:tblCellMar>
        </w:tblPrEx>
        <w:trPr>
          <w:trHeight w:val="193" w:hRule="atLeast"/>
          <w:tblCellSpacing w:w="0" w:type="dxa"/>
          <w:jc w:val="center"/>
        </w:trPr>
        <w:tc>
          <w:tcPr>
            <w:tcW w:w="7971"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0385B5">
            <w:pPr>
              <w:pStyle w:val="33"/>
              <w:keepNext w:val="0"/>
              <w:keepLines w:val="0"/>
              <w:pageBreakBefore w:val="0"/>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投标总报价（人民币：元）</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7449F3">
            <w:pPr>
              <w:pStyle w:val="33"/>
              <w:keepNext w:val="0"/>
              <w:keepLines w:val="0"/>
              <w:pageBreakBefore w:val="0"/>
              <w:spacing w:beforeAutospacing="0" w:afterAutospacing="0" w:line="240" w:lineRule="exact"/>
              <w:jc w:val="both"/>
              <w:rPr>
                <w:rFonts w:hint="eastAsia" w:ascii="宋体" w:hAnsi="宋体" w:eastAsia="宋体" w:cs="宋体"/>
                <w:color w:val="auto"/>
                <w:sz w:val="18"/>
                <w:szCs w:val="18"/>
                <w:highlight w:val="none"/>
              </w:rPr>
            </w:pPr>
          </w:p>
        </w:tc>
      </w:tr>
    </w:tbl>
    <w:p w14:paraId="6408397D">
      <w:pPr>
        <w:pStyle w:val="33"/>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1.投标报价采用总承包方式，“投标总报价”应包括所投货物（包含与货物相关的服务）费用、安装调试费、测试验收费、培训费、运行维护费用、税金、运输保险、报关清关、开证、办理全套免税手续费用及其他有关的为完成本项目发生的所有费用，招标文件中另有规定的除外。</w:t>
      </w:r>
    </w:p>
    <w:p w14:paraId="7C2F433A">
      <w:pPr>
        <w:pStyle w:val="33"/>
        <w:keepNext w:val="0"/>
        <w:keepLines w:val="0"/>
        <w:pageBreakBefore w:val="0"/>
        <w:widowControl w:val="0"/>
        <w:spacing w:beforeAutospacing="0" w:afterAutospacing="0" w:line="360" w:lineRule="auto"/>
        <w:ind w:firstLine="480"/>
        <w:jc w:val="both"/>
        <w:rPr>
          <w:color w:val="auto"/>
          <w:highlight w:val="none"/>
          <w:shd w:val="clear" w:color="auto" w:fill="auto"/>
        </w:rPr>
      </w:pPr>
      <w:r>
        <w:rPr>
          <w:rFonts w:hint="eastAsia" w:ascii="宋体" w:hAnsi="宋体" w:eastAsia="宋体" w:cs="宋体"/>
          <w:color w:val="auto"/>
          <w:highlight w:val="none"/>
        </w:rPr>
        <w:t>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投标分项报价表</w:t>
      </w:r>
      <w:r>
        <w:rPr>
          <w:rFonts w:ascii="Times New Roman" w:hAnsi="Times New Roman"/>
          <w:color w:val="auto"/>
          <w:sz w:val="21"/>
          <w:szCs w:val="21"/>
          <w:highlight w:val="none"/>
        </w:rPr>
        <w:t>”</w:t>
      </w:r>
      <w:r>
        <w:rPr>
          <w:rFonts w:hint="eastAsia" w:ascii="宋体" w:hAnsi="宋体" w:eastAsia="宋体" w:cs="宋体"/>
          <w:color w:val="auto"/>
          <w:highlight w:val="none"/>
          <w:shd w:val="clear" w:color="auto" w:fill="auto"/>
        </w:rPr>
        <w:t>中“投标总报价”数额应当与“开标一览表”中“投标总报价”数额一致。</w:t>
      </w:r>
    </w:p>
    <w:p w14:paraId="10B218A4">
      <w:pPr>
        <w:pStyle w:val="33"/>
        <w:keepNext w:val="0"/>
        <w:keepLines w:val="0"/>
        <w:pageBreakBefore w:val="0"/>
        <w:widowControl w:val="0"/>
        <w:spacing w:beforeAutospacing="0" w:afterAutospacing="0" w:line="440" w:lineRule="exact"/>
        <w:ind w:firstLine="480"/>
        <w:jc w:val="right"/>
        <w:rPr>
          <w:rFonts w:hint="default" w:ascii="宋体" w:hAnsi="宋体" w:cs="宋体" w:eastAsiaTheme="minorEastAsia"/>
          <w:color w:val="auto"/>
          <w:sz w:val="24"/>
          <w:highlight w:val="none"/>
          <w:lang w:val="en-US" w:eastAsia="zh-CN"/>
        </w:rPr>
      </w:pPr>
      <w:r>
        <w:rPr>
          <w:color w:val="auto"/>
          <w:highlight w:val="none"/>
          <w:shd w:val="clear" w:color="auto" w:fill="auto"/>
        </w:rPr>
        <w:t> </w:t>
      </w:r>
      <w:r>
        <w:rPr>
          <w:rFonts w:hint="eastAsia" w:ascii="宋体" w:hAnsi="宋体" w:cs="宋体"/>
          <w:color w:val="auto"/>
          <w:sz w:val="24"/>
          <w:highlight w:val="none"/>
        </w:rPr>
        <w:t>法定代表人或被授权人（签字）：</w:t>
      </w:r>
      <w:r>
        <w:rPr>
          <w:rFonts w:hint="eastAsia" w:ascii="宋体" w:hAnsi="宋体" w:cs="宋体"/>
          <w:color w:val="auto"/>
          <w:sz w:val="24"/>
          <w:highlight w:val="none"/>
          <w:lang w:val="en-US" w:eastAsia="zh-CN"/>
        </w:rPr>
        <w:t xml:space="preserve">                           </w:t>
      </w:r>
    </w:p>
    <w:p w14:paraId="2A7F3C39">
      <w:pPr>
        <w:keepNext w:val="0"/>
        <w:keepLines w:val="0"/>
        <w:pageBreakBefore w:val="0"/>
        <w:widowControl w:val="0"/>
        <w:spacing w:line="440" w:lineRule="exact"/>
        <w:ind w:firstLine="1680"/>
        <w:rPr>
          <w:rFonts w:hint="eastAsia" w:ascii="宋体" w:hAnsi="宋体" w:cs="宋体"/>
          <w:color w:val="auto"/>
          <w:sz w:val="24"/>
          <w:highlight w:val="none"/>
        </w:rPr>
      </w:pPr>
    </w:p>
    <w:p w14:paraId="33588EDF">
      <w:pPr>
        <w:keepNext w:val="0"/>
        <w:keepLines w:val="0"/>
        <w:pageBreakBefore w:val="0"/>
        <w:widowControl w:val="0"/>
        <w:spacing w:line="440" w:lineRule="exact"/>
        <w:ind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2D61CC27">
      <w:pPr>
        <w:keepNext w:val="0"/>
        <w:keepLines w:val="0"/>
        <w:pageBreakBefore w:val="0"/>
        <w:widowControl w:val="0"/>
        <w:spacing w:line="440" w:lineRule="exact"/>
        <w:ind w:firstLine="16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25AF9536">
      <w:pPr>
        <w:keepNext w:val="0"/>
        <w:keepLines w:val="0"/>
        <w:pageBreakBefore w:val="0"/>
        <w:widowControl w:val="0"/>
        <w:spacing w:line="440" w:lineRule="exact"/>
        <w:jc w:val="righ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55D16110">
      <w:pPr>
        <w:pStyle w:val="33"/>
        <w:keepNext w:val="0"/>
        <w:keepLines w:val="0"/>
        <w:pageBreakBefore w:val="0"/>
        <w:widowControl w:val="0"/>
        <w:spacing w:beforeAutospacing="0" w:afterAutospacing="0" w:line="360" w:lineRule="auto"/>
        <w:ind w:firstLine="480"/>
        <w:jc w:val="both"/>
        <w:rPr>
          <w:color w:val="auto"/>
          <w:highlight w:val="none"/>
          <w:shd w:val="clear" w:color="auto" w:fill="auto"/>
        </w:rPr>
      </w:pPr>
    </w:p>
    <w:p w14:paraId="55ABC36F">
      <w:pPr>
        <w:pStyle w:val="33"/>
        <w:spacing w:beforeAutospacing="0" w:afterAutospacing="0"/>
        <w:jc w:val="both"/>
        <w:rPr>
          <w:color w:val="auto"/>
          <w:highlight w:val="none"/>
        </w:rPr>
      </w:pPr>
      <w:r>
        <w:rPr>
          <w:color w:val="auto"/>
          <w:highlight w:val="none"/>
        </w:rPr>
        <w:t> </w:t>
      </w:r>
    </w:p>
    <w:p w14:paraId="04F672EB">
      <w:pPr>
        <w:pStyle w:val="33"/>
        <w:spacing w:beforeAutospacing="0" w:afterAutospacing="0"/>
        <w:jc w:val="both"/>
        <w:rPr>
          <w:color w:val="auto"/>
          <w:highlight w:val="none"/>
        </w:rPr>
      </w:pPr>
      <w:r>
        <w:rPr>
          <w:color w:val="auto"/>
          <w:highlight w:val="none"/>
        </w:rPr>
        <w:t> </w:t>
      </w:r>
    </w:p>
    <w:p w14:paraId="69ACF994">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p>
    <w:p w14:paraId="3CA9C0FA">
      <w:pPr>
        <w:pStyle w:val="3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、技术要求响应及偏离表（分包号：**）</w:t>
      </w:r>
    </w:p>
    <w:tbl>
      <w:tblPr>
        <w:tblStyle w:val="35"/>
        <w:tblW w:w="9636" w:type="dxa"/>
        <w:tblCellSpacing w:w="0" w:type="dxa"/>
        <w:tblInd w:w="10" w:type="dxa"/>
        <w:tblLayout w:type="fixed"/>
        <w:tblCellMar>
          <w:top w:w="0" w:type="dxa"/>
          <w:left w:w="108" w:type="dxa"/>
          <w:bottom w:w="0" w:type="dxa"/>
          <w:right w:w="108" w:type="dxa"/>
        </w:tblCellMar>
      </w:tblPr>
      <w:tblGrid>
        <w:gridCol w:w="608"/>
        <w:gridCol w:w="1711"/>
        <w:gridCol w:w="1712"/>
        <w:gridCol w:w="2950"/>
        <w:gridCol w:w="1410"/>
        <w:gridCol w:w="1245"/>
      </w:tblGrid>
      <w:tr w14:paraId="02C0A35A">
        <w:tblPrEx>
          <w:tblCellMar>
            <w:top w:w="0" w:type="dxa"/>
            <w:left w:w="108" w:type="dxa"/>
            <w:bottom w:w="0" w:type="dxa"/>
            <w:right w:w="108" w:type="dxa"/>
          </w:tblCellMar>
        </w:tblPrEx>
        <w:trPr>
          <w:trHeight w:val="634"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41F0EC">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342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6D42D3">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招标文件要求</w:t>
            </w: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FBD8E1">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投标响应情况</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FD14DB">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超出、符合或偏离</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6353C8">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证明</w:t>
            </w:r>
          </w:p>
          <w:p w14:paraId="20212254">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材料</w:t>
            </w:r>
          </w:p>
        </w:tc>
      </w:tr>
      <w:tr w14:paraId="21CC452E">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506B2">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105FFE">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穿戴式学生VR终端</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C389F2">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00C518">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E5DC58">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BBFF30">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r>
      <w:tr w14:paraId="7099F994">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EE9BB">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335CD">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穿戴式学生VR终端系统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2F59E">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859B7B">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C8AFB5">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7B670B">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r>
      <w:tr w14:paraId="69496933">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033F8B">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CBC99C">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教师端VR教学管理系统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DA0F2A">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2E897">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EB2A7">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B2C18">
            <w:pPr>
              <w:pStyle w:val="33"/>
              <w:spacing w:beforeAutospacing="0" w:afterAutospacing="0"/>
              <w:jc w:val="center"/>
              <w:rPr>
                <w:rFonts w:hint="eastAsia" w:ascii="宋体" w:hAnsi="宋体" w:eastAsia="宋体" w:cs="宋体"/>
                <w:color w:val="auto"/>
                <w:sz w:val="18"/>
                <w:szCs w:val="18"/>
                <w:highlight w:val="none"/>
              </w:rPr>
            </w:pPr>
          </w:p>
        </w:tc>
      </w:tr>
      <w:tr w14:paraId="1A75C205">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1260E4">
            <w:pPr>
              <w:widowControl/>
              <w:jc w:val="center"/>
              <w:rPr>
                <w:rFonts w:hint="default"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B50EC">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融合学科VR教学资源</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93DCD">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D00604">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9F193A">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ADD8D1">
            <w:pPr>
              <w:pStyle w:val="33"/>
              <w:spacing w:beforeAutospacing="0" w:afterAutospacing="0"/>
              <w:jc w:val="center"/>
              <w:rPr>
                <w:rFonts w:hint="eastAsia" w:ascii="宋体" w:hAnsi="宋体" w:eastAsia="宋体" w:cs="宋体"/>
                <w:color w:val="auto"/>
                <w:sz w:val="18"/>
                <w:szCs w:val="18"/>
                <w:highlight w:val="none"/>
              </w:rPr>
            </w:pPr>
          </w:p>
        </w:tc>
      </w:tr>
      <w:tr w14:paraId="2A38C7EC">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219ADC">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5</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68F07">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小学科学VR教学系统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46863E">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143EDE">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11CC3D">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E8B4B">
            <w:pPr>
              <w:pStyle w:val="33"/>
              <w:spacing w:beforeAutospacing="0" w:afterAutospacing="0"/>
              <w:jc w:val="center"/>
              <w:rPr>
                <w:rFonts w:hint="eastAsia" w:ascii="宋体" w:hAnsi="宋体" w:eastAsia="宋体" w:cs="宋体"/>
                <w:color w:val="auto"/>
                <w:sz w:val="18"/>
                <w:szCs w:val="18"/>
                <w:highlight w:val="none"/>
              </w:rPr>
            </w:pPr>
          </w:p>
        </w:tc>
      </w:tr>
      <w:tr w14:paraId="6E6E325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C44223">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6</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2998E8">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设备充电消毒一体柜</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B61A1">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993C2">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DF7B71">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ECAE17">
            <w:pPr>
              <w:pStyle w:val="33"/>
              <w:spacing w:beforeAutospacing="0" w:afterAutospacing="0"/>
              <w:jc w:val="center"/>
              <w:rPr>
                <w:rFonts w:hint="eastAsia" w:ascii="宋体" w:hAnsi="宋体" w:eastAsia="宋体" w:cs="宋体"/>
                <w:color w:val="auto"/>
                <w:sz w:val="18"/>
                <w:szCs w:val="18"/>
                <w:highlight w:val="none"/>
              </w:rPr>
            </w:pPr>
          </w:p>
        </w:tc>
      </w:tr>
      <w:tr w14:paraId="76AB049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8D63D5">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7</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E3DFC4">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无线AP</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6BFAD">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06CB5">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C76031">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0C0479">
            <w:pPr>
              <w:pStyle w:val="33"/>
              <w:spacing w:beforeAutospacing="0" w:afterAutospacing="0"/>
              <w:jc w:val="center"/>
              <w:rPr>
                <w:rFonts w:hint="eastAsia" w:ascii="宋体" w:hAnsi="宋体" w:eastAsia="宋体" w:cs="宋体"/>
                <w:color w:val="auto"/>
                <w:sz w:val="18"/>
                <w:szCs w:val="18"/>
                <w:highlight w:val="none"/>
              </w:rPr>
            </w:pPr>
          </w:p>
        </w:tc>
      </w:tr>
      <w:tr w14:paraId="47716883">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F18AEB">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8</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C55E27">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裸眼XR便携终端</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509CF">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CF1424">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EE8B16">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473958">
            <w:pPr>
              <w:pStyle w:val="33"/>
              <w:spacing w:beforeAutospacing="0" w:afterAutospacing="0"/>
              <w:jc w:val="center"/>
              <w:rPr>
                <w:rFonts w:hint="eastAsia" w:ascii="宋体" w:hAnsi="宋体" w:eastAsia="宋体" w:cs="宋体"/>
                <w:color w:val="auto"/>
                <w:sz w:val="18"/>
                <w:szCs w:val="18"/>
                <w:highlight w:val="none"/>
              </w:rPr>
            </w:pPr>
          </w:p>
        </w:tc>
      </w:tr>
      <w:tr w14:paraId="1F7577EB">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34BE4">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9</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C6A12B">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裸眼XR便携终端配件包</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1AE0AA">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DECC87">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A357F4">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25063C">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r>
      <w:tr w14:paraId="013D1C7A">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4D06CA">
            <w:pPr>
              <w:widowControl/>
              <w:jc w:val="center"/>
              <w:rPr>
                <w:rFonts w:hint="default"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10</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E41D0B">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偏振式3DVR便携式终端</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AFD42A">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9C67B2">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3BEB33">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F6F98">
            <w:pPr>
              <w:pStyle w:val="3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r>
      <w:tr w14:paraId="6C9EFB2E">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CA9FC7">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30673D">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观察眼镜</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D9511A">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3F79DE">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C1C56C">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1BABE6">
            <w:pPr>
              <w:pStyle w:val="33"/>
              <w:spacing w:beforeAutospacing="0" w:afterAutospacing="0"/>
              <w:jc w:val="center"/>
              <w:rPr>
                <w:rFonts w:hint="eastAsia" w:ascii="宋体" w:hAnsi="宋体" w:eastAsia="宋体" w:cs="宋体"/>
                <w:color w:val="auto"/>
                <w:sz w:val="18"/>
                <w:szCs w:val="18"/>
                <w:highlight w:val="none"/>
              </w:rPr>
            </w:pPr>
          </w:p>
        </w:tc>
      </w:tr>
      <w:tr w14:paraId="0F85B1AE">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E8BA61">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AB7BE4">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VR资源制作软件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EC31DC">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B6620F">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438E25">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045A46">
            <w:pPr>
              <w:pStyle w:val="33"/>
              <w:spacing w:beforeAutospacing="0" w:afterAutospacing="0"/>
              <w:jc w:val="center"/>
              <w:rPr>
                <w:rFonts w:hint="eastAsia" w:ascii="宋体" w:hAnsi="宋体" w:eastAsia="宋体" w:cs="宋体"/>
                <w:color w:val="auto"/>
                <w:sz w:val="18"/>
                <w:szCs w:val="18"/>
                <w:highlight w:val="none"/>
              </w:rPr>
            </w:pPr>
          </w:p>
        </w:tc>
      </w:tr>
      <w:tr w14:paraId="6ED60DD8">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6FFF4A">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5076A9">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3D 智慧黑板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2BA74">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D10A1">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90A6CD">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4882B6">
            <w:pPr>
              <w:pStyle w:val="33"/>
              <w:spacing w:beforeAutospacing="0" w:afterAutospacing="0"/>
              <w:jc w:val="center"/>
              <w:rPr>
                <w:rFonts w:hint="eastAsia" w:ascii="宋体" w:hAnsi="宋体" w:eastAsia="宋体" w:cs="宋体"/>
                <w:color w:val="auto"/>
                <w:sz w:val="18"/>
                <w:szCs w:val="18"/>
                <w:highlight w:val="none"/>
              </w:rPr>
            </w:pPr>
          </w:p>
        </w:tc>
      </w:tr>
      <w:tr w14:paraId="6CD67D9B">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4C96FD">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AC8AFA">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八边形操作台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B04345">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AB8A73">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E1768">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A378DF">
            <w:pPr>
              <w:pStyle w:val="33"/>
              <w:spacing w:beforeAutospacing="0" w:afterAutospacing="0"/>
              <w:jc w:val="center"/>
              <w:rPr>
                <w:rFonts w:hint="eastAsia" w:ascii="宋体" w:hAnsi="宋体" w:eastAsia="宋体" w:cs="宋体"/>
                <w:color w:val="auto"/>
                <w:sz w:val="18"/>
                <w:szCs w:val="18"/>
                <w:highlight w:val="none"/>
              </w:rPr>
            </w:pPr>
          </w:p>
        </w:tc>
      </w:tr>
      <w:tr w14:paraId="2E68D8BE">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836160">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15</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40AE4">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全钢讲台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489243">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ADCDF7">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BAA08D">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DFDCDC">
            <w:pPr>
              <w:pStyle w:val="33"/>
              <w:spacing w:beforeAutospacing="0" w:afterAutospacing="0"/>
              <w:jc w:val="center"/>
              <w:rPr>
                <w:rFonts w:hint="eastAsia" w:ascii="宋体" w:hAnsi="宋体" w:eastAsia="宋体" w:cs="宋体"/>
                <w:color w:val="auto"/>
                <w:sz w:val="18"/>
                <w:szCs w:val="18"/>
                <w:highlight w:val="none"/>
              </w:rPr>
            </w:pPr>
          </w:p>
        </w:tc>
      </w:tr>
      <w:tr w14:paraId="6EA4065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C2746">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16</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ED6B85">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学生凳</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036CE7">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3D508F">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CA42D4">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4E3A6E">
            <w:pPr>
              <w:pStyle w:val="33"/>
              <w:spacing w:beforeAutospacing="0" w:afterAutospacing="0"/>
              <w:jc w:val="center"/>
              <w:rPr>
                <w:rFonts w:hint="eastAsia" w:ascii="宋体" w:hAnsi="宋体" w:eastAsia="宋体" w:cs="宋体"/>
                <w:color w:val="auto"/>
                <w:sz w:val="18"/>
                <w:szCs w:val="18"/>
                <w:highlight w:val="none"/>
              </w:rPr>
            </w:pPr>
          </w:p>
        </w:tc>
      </w:tr>
      <w:tr w14:paraId="5282C018">
        <w:tblPrEx>
          <w:tblCellMar>
            <w:top w:w="0" w:type="dxa"/>
            <w:left w:w="108" w:type="dxa"/>
            <w:bottom w:w="0" w:type="dxa"/>
            <w:right w:w="108" w:type="dxa"/>
          </w:tblCellMar>
        </w:tblPrEx>
        <w:trPr>
          <w:trHeight w:val="634"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22D47D">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17</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17B3D">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储物柜</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766B88">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A62B58">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8674CD">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01305">
            <w:pPr>
              <w:pStyle w:val="33"/>
              <w:spacing w:beforeAutospacing="0" w:afterAutospacing="0"/>
              <w:jc w:val="center"/>
              <w:rPr>
                <w:rFonts w:hint="eastAsia" w:ascii="宋体" w:hAnsi="宋体" w:eastAsia="宋体" w:cs="宋体"/>
                <w:color w:val="auto"/>
                <w:sz w:val="18"/>
                <w:szCs w:val="18"/>
                <w:highlight w:val="none"/>
              </w:rPr>
            </w:pPr>
          </w:p>
        </w:tc>
      </w:tr>
      <w:tr w14:paraId="75C3192D">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688F1D">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18</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0D34CC">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教室文化环境布置</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1D7C8F">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5ABA5">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B0A00D">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3D3175">
            <w:pPr>
              <w:pStyle w:val="33"/>
              <w:spacing w:beforeAutospacing="0" w:afterAutospacing="0"/>
              <w:jc w:val="center"/>
              <w:rPr>
                <w:rFonts w:hint="eastAsia" w:ascii="宋体" w:hAnsi="宋体" w:eastAsia="宋体" w:cs="宋体"/>
                <w:color w:val="auto"/>
                <w:sz w:val="18"/>
                <w:szCs w:val="18"/>
                <w:highlight w:val="none"/>
              </w:rPr>
            </w:pPr>
          </w:p>
        </w:tc>
      </w:tr>
      <w:tr w14:paraId="5237FCDB">
        <w:tblPrEx>
          <w:tblCellMar>
            <w:top w:w="0" w:type="dxa"/>
            <w:left w:w="108" w:type="dxa"/>
            <w:bottom w:w="0" w:type="dxa"/>
            <w:right w:w="108" w:type="dxa"/>
          </w:tblCellMar>
        </w:tblPrEx>
        <w:trPr>
          <w:trHeight w:val="634"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CD6E93">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19</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2EE794">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铝方通造型</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2C827A">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8B3CE">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F7CE8F">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9A488D">
            <w:pPr>
              <w:pStyle w:val="33"/>
              <w:spacing w:beforeAutospacing="0" w:afterAutospacing="0"/>
              <w:jc w:val="center"/>
              <w:rPr>
                <w:rFonts w:hint="eastAsia" w:ascii="宋体" w:hAnsi="宋体" w:eastAsia="宋体" w:cs="宋体"/>
                <w:color w:val="auto"/>
                <w:sz w:val="18"/>
                <w:szCs w:val="18"/>
                <w:highlight w:val="none"/>
              </w:rPr>
            </w:pPr>
          </w:p>
        </w:tc>
      </w:tr>
      <w:tr w14:paraId="030296E9">
        <w:tblPrEx>
          <w:tblCellMar>
            <w:top w:w="0" w:type="dxa"/>
            <w:left w:w="108" w:type="dxa"/>
            <w:bottom w:w="0" w:type="dxa"/>
            <w:right w:w="108" w:type="dxa"/>
          </w:tblCellMar>
        </w:tblPrEx>
        <w:trPr>
          <w:trHeight w:val="634"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8E0CAD">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20</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B41E84">
            <w:pPr>
              <w:widowControl/>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室内地板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F3B10C">
            <w:pPr>
              <w:pStyle w:val="3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AA8E4B">
            <w:pPr>
              <w:pStyle w:val="3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D3D47D">
            <w:pPr>
              <w:pStyle w:val="3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84B295">
            <w:pPr>
              <w:pStyle w:val="33"/>
              <w:spacing w:beforeAutospacing="0" w:afterAutospacing="0"/>
              <w:jc w:val="center"/>
              <w:rPr>
                <w:rFonts w:hint="eastAsia" w:ascii="宋体" w:hAnsi="宋体" w:eastAsia="宋体" w:cs="宋体"/>
                <w:color w:val="auto"/>
                <w:sz w:val="18"/>
                <w:szCs w:val="18"/>
                <w:highlight w:val="none"/>
              </w:rPr>
            </w:pPr>
          </w:p>
        </w:tc>
      </w:tr>
    </w:tbl>
    <w:p w14:paraId="484E4E7D">
      <w:pPr>
        <w:pStyle w:val="3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2D5D2D59">
      <w:pPr>
        <w:pStyle w:val="33"/>
        <w:spacing w:beforeAutospacing="0" w:afterAutospacing="0"/>
        <w:jc w:val="center"/>
        <w:rPr>
          <w:color w:val="auto"/>
          <w:highlight w:val="none"/>
        </w:rPr>
      </w:pPr>
      <w:r>
        <w:rPr>
          <w:color w:val="auto"/>
          <w:highlight w:val="none"/>
        </w:rPr>
        <w:t> </w:t>
      </w:r>
    </w:p>
    <w:p w14:paraId="11CD67ED">
      <w:pPr>
        <w:pStyle w:val="33"/>
        <w:spacing w:beforeAutospacing="0" w:afterAutospacing="0"/>
        <w:jc w:val="both"/>
        <w:rPr>
          <w:rFonts w:hint="eastAsia"/>
          <w:b/>
          <w:bCs/>
          <w:color w:val="auto"/>
          <w:highlight w:val="none"/>
          <w:lang w:val="en-US" w:eastAsia="zh-CN"/>
        </w:rPr>
      </w:pPr>
      <w:r>
        <w:rPr>
          <w:rFonts w:hint="eastAsia"/>
          <w:b/>
          <w:bCs/>
          <w:color w:val="auto"/>
          <w:highlight w:val="none"/>
          <w:lang w:val="en-US" w:eastAsia="zh-CN"/>
        </w:rPr>
        <w:t>上表内容须提供“第四章 采购需求”中要求的证明材料，作为填列证明材料附在本表之后。</w:t>
      </w:r>
    </w:p>
    <w:p w14:paraId="3F1AB52D">
      <w:pPr>
        <w:pStyle w:val="33"/>
        <w:spacing w:beforeAutospacing="0" w:afterAutospacing="0"/>
        <w:jc w:val="both"/>
        <w:rPr>
          <w:color w:val="auto"/>
          <w:highlight w:val="none"/>
        </w:rPr>
      </w:pPr>
      <w:r>
        <w:rPr>
          <w:color w:val="auto"/>
          <w:highlight w:val="none"/>
        </w:rPr>
        <w:t> </w:t>
      </w:r>
    </w:p>
    <w:p w14:paraId="34FE31FA">
      <w:pPr>
        <w:spacing w:line="600" w:lineRule="exact"/>
        <w:ind w:firstLine="2880"/>
        <w:rPr>
          <w:rFonts w:hint="eastAsia" w:ascii="宋体" w:hAnsi="宋体" w:cs="宋体"/>
          <w:color w:val="auto"/>
          <w:sz w:val="24"/>
          <w:highlight w:val="none"/>
        </w:rPr>
      </w:pPr>
      <w:r>
        <w:rPr>
          <w:color w:val="auto"/>
          <w:highlight w:val="none"/>
        </w:rPr>
        <w:t> </w:t>
      </w:r>
      <w:r>
        <w:rPr>
          <w:rFonts w:hint="eastAsia" w:ascii="宋体" w:hAnsi="宋体" w:cs="宋体"/>
          <w:color w:val="auto"/>
          <w:sz w:val="24"/>
          <w:highlight w:val="none"/>
        </w:rPr>
        <w:t>法定代表人或被授权人（签字）：</w:t>
      </w:r>
    </w:p>
    <w:p w14:paraId="6089EC60">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3CC0FFDA">
      <w:pPr>
        <w:pStyle w:val="33"/>
        <w:spacing w:beforeAutospacing="0" w:afterAutospacing="0"/>
        <w:jc w:val="right"/>
        <w:rPr>
          <w:color w:val="auto"/>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bookmarkStart w:id="185" w:name="_Hlt26955054"/>
    </w:p>
    <w:p w14:paraId="009C223F">
      <w:pPr>
        <w:rPr>
          <w:color w:val="auto"/>
          <w:highlight w:val="none"/>
        </w:rPr>
      </w:pPr>
      <w:r>
        <w:rPr>
          <w:color w:val="auto"/>
          <w:highlight w:val="none"/>
        </w:rPr>
        <w:br w:type="page" w:clear="all"/>
      </w:r>
    </w:p>
    <w:p w14:paraId="6D444954">
      <w:pPr>
        <w:pStyle w:val="3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、商务要求响应及偏离表（分包号：**）</w:t>
      </w:r>
    </w:p>
    <w:tbl>
      <w:tblPr>
        <w:tblStyle w:val="35"/>
        <w:tblW w:w="9738" w:type="dxa"/>
        <w:tblCellSpacing w:w="0" w:type="dxa"/>
        <w:tblInd w:w="10" w:type="dxa"/>
        <w:tblLayout w:type="fixed"/>
        <w:tblCellMar>
          <w:top w:w="0" w:type="dxa"/>
          <w:left w:w="108" w:type="dxa"/>
          <w:bottom w:w="0" w:type="dxa"/>
          <w:right w:w="108" w:type="dxa"/>
        </w:tblCellMar>
      </w:tblPr>
      <w:tblGrid>
        <w:gridCol w:w="615"/>
        <w:gridCol w:w="3969"/>
        <w:gridCol w:w="2471"/>
        <w:gridCol w:w="1425"/>
        <w:gridCol w:w="1258"/>
      </w:tblGrid>
      <w:tr w14:paraId="7C49CD95">
        <w:tblPrEx>
          <w:tblCellMar>
            <w:top w:w="0" w:type="dxa"/>
            <w:left w:w="108" w:type="dxa"/>
            <w:bottom w:w="0" w:type="dxa"/>
            <w:right w:w="108" w:type="dxa"/>
          </w:tblCellMar>
        </w:tblPrEx>
        <w:trPr>
          <w:trHeight w:val="372"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A28A11">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bookmarkStart w:id="186" w:name="_Hlt26609391"/>
            <w:bookmarkStart w:id="187" w:name="_Hlt26671372"/>
            <w:bookmarkStart w:id="188" w:name="_Hlt26580838"/>
            <w:bookmarkStart w:id="189" w:name="_Hlt26782999"/>
            <w:bookmarkStart w:id="190" w:name="_Hlt24879081"/>
            <w:bookmarkStart w:id="191" w:name="_Hlt26955056"/>
            <w:bookmarkStart w:id="192" w:name="_Hlt26671343"/>
            <w:bookmarkStart w:id="193" w:name="_Hlt26955064"/>
            <w:r>
              <w:rPr>
                <w:rFonts w:hint="eastAsia" w:ascii="宋体" w:hAnsi="宋体" w:eastAsia="宋体" w:cs="宋体"/>
                <w:color w:val="auto"/>
                <w:sz w:val="21"/>
                <w:szCs w:val="21"/>
                <w:highlight w:val="none"/>
              </w:rPr>
              <w:t>序号</w:t>
            </w:r>
            <w:bookmarkEnd w:id="186"/>
            <w:bookmarkEnd w:id="187"/>
            <w:bookmarkEnd w:id="188"/>
            <w:bookmarkEnd w:id="189"/>
            <w:bookmarkEnd w:id="190"/>
            <w:bookmarkEnd w:id="191"/>
            <w:bookmarkEnd w:id="192"/>
            <w:bookmarkEnd w:id="193"/>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542B97">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430A66">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投标响应情况</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A6C1F4">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超出、符合或偏离</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C7CB94">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证明</w:t>
            </w:r>
          </w:p>
          <w:p w14:paraId="56AF4BB0">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w:t>
            </w:r>
          </w:p>
        </w:tc>
      </w:tr>
      <w:tr w14:paraId="35243CD5">
        <w:tblPrEx>
          <w:tblCellMar>
            <w:top w:w="0" w:type="dxa"/>
            <w:left w:w="108" w:type="dxa"/>
            <w:bottom w:w="0" w:type="dxa"/>
            <w:right w:w="108" w:type="dxa"/>
          </w:tblCellMar>
        </w:tblPrEx>
        <w:trPr>
          <w:trHeight w:val="729"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B7DF5">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1</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F50472">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项目完成时间：</w:t>
            </w:r>
            <w:r>
              <w:rPr>
                <w:rFonts w:hint="eastAsia" w:ascii="宋体" w:hAnsi="宋体" w:eastAsia="宋体" w:cs="宋体"/>
                <w:color w:val="auto"/>
                <w:sz w:val="21"/>
                <w:szCs w:val="21"/>
                <w:highlight w:val="none"/>
                <w:lang w:eastAsia="zh-CN"/>
              </w:rPr>
              <w:t>合同签订后30日历天内货物全部送达招标人指定位置且安装、调试完毕，并确保正常稳定运行。</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B6EFE1">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CE284C">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1B9BC4">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148F6675">
        <w:tblPrEx>
          <w:tblCellMar>
            <w:top w:w="0" w:type="dxa"/>
            <w:left w:w="108" w:type="dxa"/>
            <w:bottom w:w="0" w:type="dxa"/>
            <w:right w:w="108" w:type="dxa"/>
          </w:tblCellMar>
        </w:tblPrEx>
        <w:trPr>
          <w:trHeight w:val="491"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477FB5">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2</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F99CA">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项目地点：采购人指定地点。</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C389CD">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CB313">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EF4915">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3CB37EBF">
        <w:tblPrEx>
          <w:tblCellMar>
            <w:top w:w="0" w:type="dxa"/>
            <w:left w:w="108" w:type="dxa"/>
            <w:bottom w:w="0" w:type="dxa"/>
            <w:right w:w="108" w:type="dxa"/>
          </w:tblCellMar>
        </w:tblPrEx>
        <w:trPr>
          <w:trHeight w:val="491"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A3EF3">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3</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B3F182">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中标人需严密组织设备安装工作，并建立项目台账资料备查。</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9069A">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5B0095">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F10879">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355CD397">
        <w:tblPrEx>
          <w:tblCellMar>
            <w:top w:w="0" w:type="dxa"/>
            <w:left w:w="108" w:type="dxa"/>
            <w:bottom w:w="0" w:type="dxa"/>
            <w:right w:w="108" w:type="dxa"/>
          </w:tblCellMar>
        </w:tblPrEx>
        <w:trPr>
          <w:trHeight w:val="550"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BA574C">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4</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CC8EBF">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根据采购单位要求，中标人提供现场操作培训，至操作人员可熟练操作。 </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EED833">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06A4BE">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54549B">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38FE7D60">
        <w:tblPrEx>
          <w:tblCellMar>
            <w:top w:w="0" w:type="dxa"/>
            <w:left w:w="108" w:type="dxa"/>
            <w:bottom w:w="0" w:type="dxa"/>
            <w:right w:w="108" w:type="dxa"/>
          </w:tblCellMar>
        </w:tblPrEx>
        <w:trPr>
          <w:trHeight w:val="729"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40576C">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5</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0474B4">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投标人为本项目培训中自有或聘用的培训师具有物理、化学、生物或信息技术专业高级教师资格证书。</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8CAEA">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F3F01">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869106">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07D00F05">
        <w:tblPrEx>
          <w:tblCellMar>
            <w:top w:w="0" w:type="dxa"/>
            <w:left w:w="108" w:type="dxa"/>
            <w:bottom w:w="0" w:type="dxa"/>
            <w:right w:w="108" w:type="dxa"/>
          </w:tblCellMar>
        </w:tblPrEx>
        <w:trPr>
          <w:trHeight w:val="1799"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F51F5">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6</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7EBE17">
            <w:pPr>
              <w:keepNext w:val="0"/>
              <w:keepLines w:val="0"/>
              <w:pageBreakBefore w:val="0"/>
              <w:widowControl w:val="0"/>
              <w:spacing w:line="24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软件产品厂家提供不少于6次的免费培训，并配合学校每年参与省、市等有关部门组织的教学比赛3次以上（上级教育主管部门审批备案的），申请部级、省级课题时的培训和辅助制作相关内容 ，组织申报课题项目至少1个。（投标时投标人仅提供承诺书即可，中标人合同签订前提供相关厂家承诺）</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E6845">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03D4E8">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45592">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6986379D">
        <w:tblPrEx>
          <w:tblCellMar>
            <w:top w:w="0" w:type="dxa"/>
            <w:left w:w="108" w:type="dxa"/>
            <w:bottom w:w="0" w:type="dxa"/>
            <w:right w:w="108" w:type="dxa"/>
          </w:tblCellMar>
        </w:tblPrEx>
        <w:trPr>
          <w:trHeight w:val="1977"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4902AA">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7</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EBC0F3">
            <w:pPr>
              <w:keepNext w:val="0"/>
              <w:keepLines w:val="0"/>
              <w:pageBreakBefore w:val="0"/>
              <w:widowControl w:val="0"/>
              <w:spacing w:line="24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12DCFC">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EEED9">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C55437">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10B065E7">
        <w:tblPrEx>
          <w:tblCellMar>
            <w:top w:w="0" w:type="dxa"/>
            <w:left w:w="108" w:type="dxa"/>
            <w:bottom w:w="0" w:type="dxa"/>
            <w:right w:w="108" w:type="dxa"/>
          </w:tblCellMar>
        </w:tblPrEx>
        <w:trPr>
          <w:trHeight w:val="90"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F3B652">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8</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77710E">
            <w:pPr>
              <w:keepNext w:val="0"/>
              <w:keepLines w:val="0"/>
              <w:pageBreakBefore w:val="0"/>
              <w:widowControl w:val="0"/>
              <w:spacing w:line="24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乙方应按招标文件规定的</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技术要求、质量标准向甲方提供</w:t>
            </w:r>
            <w:r>
              <w:rPr>
                <w:rFonts w:hint="eastAsia" w:ascii="宋体" w:hAnsi="宋体" w:eastAsia="宋体" w:cs="宋体"/>
                <w:color w:val="auto"/>
                <w:sz w:val="21"/>
                <w:szCs w:val="21"/>
                <w:highlight w:val="none"/>
                <w:lang w:val="en-US" w:eastAsia="zh-CN"/>
              </w:rPr>
              <w:t>合格服务</w:t>
            </w:r>
            <w:r>
              <w:rPr>
                <w:rFonts w:hint="eastAsia" w:ascii="宋体" w:hAnsi="宋体" w:eastAsia="宋体" w:cs="宋体"/>
                <w:color w:val="auto"/>
                <w:sz w:val="21"/>
                <w:szCs w:val="21"/>
                <w:highlight w:val="none"/>
              </w:rPr>
              <w:t>。</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95291">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1E51A2">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982535">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37467BDB">
        <w:tblPrEx>
          <w:tblCellMar>
            <w:top w:w="0" w:type="dxa"/>
            <w:left w:w="108" w:type="dxa"/>
            <w:bottom w:w="0" w:type="dxa"/>
            <w:right w:w="108" w:type="dxa"/>
          </w:tblCellMar>
        </w:tblPrEx>
        <w:trPr>
          <w:trHeight w:val="1264"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AD884B">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294FD">
            <w:pPr>
              <w:keepNext w:val="0"/>
              <w:keepLines w:val="0"/>
              <w:pageBreakBefore w:val="0"/>
              <w:widowControl w:val="0"/>
              <w:spacing w:line="24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387BDE">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8A14D3">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457D7">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r>
      <w:tr w14:paraId="586077B4">
        <w:tblPrEx>
          <w:tblCellMar>
            <w:top w:w="0" w:type="dxa"/>
            <w:left w:w="108" w:type="dxa"/>
            <w:bottom w:w="0" w:type="dxa"/>
            <w:right w:w="108" w:type="dxa"/>
          </w:tblCellMar>
        </w:tblPrEx>
        <w:trPr>
          <w:trHeight w:val="550"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3C3DAA">
            <w:pPr>
              <w:pStyle w:val="33"/>
              <w:keepNext w:val="0"/>
              <w:keepLines w:val="0"/>
              <w:pageBreakBefore w:val="0"/>
              <w:widowControl w:val="0"/>
              <w:spacing w:beforeAutospacing="0" w:afterAutospacing="0" w:line="2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F3FD80">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质量保证期满后，供应商和厂家应同样提供免费电话咨询服务，并以优惠价格提供售后服务</w:t>
            </w:r>
            <w:r>
              <w:rPr>
                <w:rFonts w:hint="eastAsia" w:ascii="宋体" w:hAnsi="宋体" w:eastAsia="宋体" w:cs="宋体"/>
                <w:color w:val="auto"/>
                <w:sz w:val="21"/>
                <w:szCs w:val="21"/>
                <w:highlight w:val="none"/>
                <w:lang w:eastAsia="zh-CN"/>
              </w:rPr>
              <w:t>。</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6DFC4">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E4426">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02018A">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r>
      <w:tr w14:paraId="4137893F">
        <w:tblPrEx>
          <w:tblCellMar>
            <w:top w:w="0" w:type="dxa"/>
            <w:left w:w="108" w:type="dxa"/>
            <w:bottom w:w="0" w:type="dxa"/>
            <w:right w:w="108" w:type="dxa"/>
          </w:tblCellMar>
        </w:tblPrEx>
        <w:trPr>
          <w:trHeight w:val="725"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FAD258">
            <w:pPr>
              <w:pStyle w:val="33"/>
              <w:keepNext w:val="0"/>
              <w:keepLines w:val="0"/>
              <w:pageBreakBefore w:val="0"/>
              <w:widowControl w:val="0"/>
              <w:spacing w:beforeAutospacing="0" w:afterAutospacing="0" w:line="2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87827">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如甲方使用不当造成货物的毁损，乙方有义务协助维修。</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C819D">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F84E06">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2A1A4B">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r>
      <w:tr w14:paraId="53A86619">
        <w:tblPrEx>
          <w:tblCellMar>
            <w:top w:w="0" w:type="dxa"/>
            <w:left w:w="108" w:type="dxa"/>
            <w:bottom w:w="0" w:type="dxa"/>
            <w:right w:w="108" w:type="dxa"/>
          </w:tblCellMar>
        </w:tblPrEx>
        <w:trPr>
          <w:trHeight w:val="550"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DCDC9">
            <w:pPr>
              <w:pStyle w:val="33"/>
              <w:keepNext w:val="0"/>
              <w:keepLines w:val="0"/>
              <w:pageBreakBefore w:val="0"/>
              <w:widowControl w:val="0"/>
              <w:spacing w:beforeAutospacing="0" w:afterAutospacing="0" w:line="2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C96187">
            <w:pPr>
              <w:keepNext w:val="0"/>
              <w:keepLines w:val="0"/>
              <w:pageBreakBefore w:val="0"/>
              <w:widowControl w:val="0"/>
              <w:spacing w:line="240" w:lineRule="exact"/>
              <w:ind w:firstLine="48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遵守相关保密协议，保证不擅自使用用户数据，并不将用户数据泄露给第三方。</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D718AB">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D2436C">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21966">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r>
      <w:tr w14:paraId="5D6BCCF5">
        <w:tblPrEx>
          <w:tblCellMar>
            <w:top w:w="0" w:type="dxa"/>
            <w:left w:w="108" w:type="dxa"/>
            <w:bottom w:w="0" w:type="dxa"/>
            <w:right w:w="108" w:type="dxa"/>
          </w:tblCellMar>
        </w:tblPrEx>
        <w:trPr>
          <w:trHeight w:val="491"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D47927">
            <w:pPr>
              <w:pStyle w:val="33"/>
              <w:keepNext w:val="0"/>
              <w:keepLines w:val="0"/>
              <w:pageBreakBefore w:val="0"/>
              <w:widowControl w:val="0"/>
              <w:spacing w:beforeAutospacing="0" w:afterAutospacing="0" w:line="2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10B5C8">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（1）甲方依法组织履约验收工作。（按采购人的招标文件、投标人的响应文件、国家及行业相关规定验收）</w:t>
            </w:r>
          </w:p>
          <w:p w14:paraId="05F8336E">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C6F3DDB">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（3）对于实际使用人和甲方分离的项目，甲方邀请实际使用人参与验收。</w:t>
            </w:r>
          </w:p>
          <w:p w14:paraId="5E33A9BF">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（4）如有必要，甲方邀请参加本项目的其他供应商或第三方专业机构及专家参与验收，相关意见将作为验收书的参考资料。</w:t>
            </w:r>
          </w:p>
          <w:p w14:paraId="15ED57B2">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2F17D29">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验收标准如下：</w:t>
            </w:r>
          </w:p>
          <w:p w14:paraId="5F264E05">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A、产品为全新，未使用过的原装合格正品，安装质量符合各项技术标准和国家强制性标准；</w:t>
            </w:r>
          </w:p>
          <w:p w14:paraId="3E4410CA">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B、货物到达现场后，乙方必须在使用单位人员在场情况下当面开箱，共同清点、检查外观，箱记录，双方签字确认。</w:t>
            </w:r>
          </w:p>
          <w:p w14:paraId="48F19B58">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C、乙方应保证货物到达甲方所在地完好无损，如有缺漏、损坏，由乙方负责调换、补齐或赔偿。</w:t>
            </w:r>
          </w:p>
          <w:p w14:paraId="0F08C9F9">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D、乙方应提供完备的技术资料、装箱单和合格证等，验收合格条件（标准）如下：</w:t>
            </w:r>
          </w:p>
          <w:p w14:paraId="58338D1C">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①设备技术参数与采购合同一致，性能指标达到规定的标准。</w:t>
            </w:r>
          </w:p>
          <w:p w14:paraId="2803CCD0">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②货物技术资料、装箱单、合格证等资料齐全。</w:t>
            </w:r>
          </w:p>
          <w:p w14:paraId="6935FCE9">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③在系统试运行期间所出现的问题得到解决，并运行正常。</w:t>
            </w:r>
          </w:p>
          <w:p w14:paraId="4EF27320">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④在规定时间内完成交货并验收，并经甲方确认。</w:t>
            </w:r>
          </w:p>
          <w:p w14:paraId="431584BF">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E、乙方须完成甲方所有采购的软硬件产品安装调试工作，须符合甲方要求并试运行1个月后，才作为最终验收。</w:t>
            </w:r>
          </w:p>
          <w:p w14:paraId="3183A15B">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F、乙方提供的货物未达到采购文件规定要求，且对甲方造成损失的，由乙方承担一切责任，并赔偿所造成的损失。</w:t>
            </w:r>
          </w:p>
          <w:p w14:paraId="2B767A21">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G、甲方可邀请国家认可的质量检测机构参加验收工作。</w:t>
            </w:r>
          </w:p>
          <w:p w14:paraId="6CD9C1FF">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H、甲方需要制造商对乙方交付的产品（包括质量、技术参数等）进行确认的，乙方须无条件配合，并出具书面确认证明。</w:t>
            </w:r>
          </w:p>
          <w:p w14:paraId="7E7C57A5">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I、产品包装材料归甲方所有。</w:t>
            </w:r>
          </w:p>
          <w:p w14:paraId="720B1A89">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2647AB">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8EB0C">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50BFC7">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r>
      <w:tr w14:paraId="4C9658B6">
        <w:tblPrEx>
          <w:tblCellMar>
            <w:top w:w="0" w:type="dxa"/>
            <w:left w:w="108" w:type="dxa"/>
            <w:bottom w:w="0" w:type="dxa"/>
            <w:right w:w="108" w:type="dxa"/>
          </w:tblCellMar>
        </w:tblPrEx>
        <w:trPr>
          <w:trHeight w:val="550"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1E8D7F">
            <w:pPr>
              <w:pStyle w:val="33"/>
              <w:keepNext w:val="0"/>
              <w:keepLines w:val="0"/>
              <w:pageBreakBefore w:val="0"/>
              <w:widowControl w:val="0"/>
              <w:spacing w:beforeAutospacing="0" w:afterAutospacing="0" w:line="2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DBA492">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（四）付款方式：</w:t>
            </w:r>
          </w:p>
          <w:p w14:paraId="7C60A072">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1、合同签订后30日内，支付合同金额30%的预付款。</w:t>
            </w:r>
          </w:p>
          <w:p w14:paraId="7CF6173B">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所有货物安装完毕，甲方组织初步验收，初步验收合格后收到乙方发票10个工作日内甲方向乙方支付至合同总价的90%款项</w:t>
            </w:r>
            <w:r>
              <w:rPr>
                <w:rFonts w:hint="eastAsia" w:ascii="宋体" w:hAnsi="宋体" w:eastAsia="宋体" w:cs="宋体"/>
                <w:color w:val="auto"/>
                <w:sz w:val="21"/>
                <w:szCs w:val="21"/>
                <w:highlight w:val="none"/>
              </w:rPr>
              <w:t>；</w:t>
            </w:r>
          </w:p>
          <w:p w14:paraId="2FCA19F0">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3、初步验收合格且项目运行满12个月后，甲方组织最终验收，最终验收合格后收到乙方发票10个工作日内甲方付清货款；</w:t>
            </w:r>
          </w:p>
          <w:p w14:paraId="088869C1">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4、在签订合同时，乙方明确表示无需预付款或者主动要求降低预付款比例的，甲方可不适用上述关于预付款的规定。</w:t>
            </w:r>
          </w:p>
          <w:p w14:paraId="7DE3E141">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5、结算款项时乙方须出具相应金额的有效票据。</w:t>
            </w:r>
          </w:p>
          <w:p w14:paraId="3F5EAD84">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6、甲方原则上自收到发票后10个工作日内将资金支付到乙方账户。</w:t>
            </w:r>
          </w:p>
          <w:p w14:paraId="54EF154C">
            <w:pPr>
              <w:pStyle w:val="33"/>
              <w:keepNext w:val="0"/>
              <w:keepLines w:val="0"/>
              <w:pageBreakBefore w:val="0"/>
              <w:widowControl w:val="0"/>
              <w:spacing w:beforeAutospacing="0" w:afterAutospacing="0" w:line="24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7、当采购数量与实际使用数量不一致时，乙方应根据实际使用量供货，合同的最终结算金额按实际使用量乘以成交单价进行计算。</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5EC168">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17169">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2B59E">
            <w:pPr>
              <w:pStyle w:val="33"/>
              <w:keepNext w:val="0"/>
              <w:keepLines w:val="0"/>
              <w:pageBreakBefore w:val="0"/>
              <w:widowControl w:val="0"/>
              <w:spacing w:beforeAutospacing="0" w:afterAutospacing="0" w:line="240" w:lineRule="exact"/>
              <w:jc w:val="center"/>
              <w:rPr>
                <w:rFonts w:hint="eastAsia" w:ascii="宋体" w:hAnsi="宋体" w:eastAsia="宋体" w:cs="宋体"/>
                <w:color w:val="auto"/>
                <w:sz w:val="21"/>
                <w:szCs w:val="21"/>
                <w:highlight w:val="none"/>
              </w:rPr>
            </w:pPr>
          </w:p>
        </w:tc>
      </w:tr>
    </w:tbl>
    <w:p w14:paraId="28416CB2">
      <w:pPr>
        <w:pStyle w:val="3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89D229C">
      <w:pPr>
        <w:spacing w:line="600" w:lineRule="exact"/>
        <w:ind w:firstLine="2880"/>
        <w:rPr>
          <w:rFonts w:hint="eastAsia" w:ascii="宋体" w:hAnsi="宋体" w:cs="宋体"/>
          <w:color w:val="auto"/>
          <w:sz w:val="24"/>
          <w:highlight w:val="none"/>
        </w:rPr>
      </w:pPr>
      <w:bookmarkStart w:id="194" w:name="_Hlt26609389"/>
      <w:bookmarkStart w:id="195" w:name="_Hlt26955066"/>
      <w:bookmarkStart w:id="196" w:name="_格式2__法定代表人授权书"/>
      <w:bookmarkStart w:id="197" w:name="_Toc462564146"/>
      <w:bookmarkStart w:id="198" w:name="_Hlt26671374"/>
      <w:r>
        <w:rPr>
          <w:color w:val="auto"/>
          <w:highlight w:val="none"/>
        </w:rPr>
        <w:t> </w:t>
      </w:r>
      <w:r>
        <w:rPr>
          <w:rFonts w:hint="eastAsia" w:ascii="宋体" w:hAnsi="宋体" w:cs="宋体"/>
          <w:color w:val="auto"/>
          <w:sz w:val="24"/>
          <w:highlight w:val="none"/>
        </w:rPr>
        <w:t>法定代表人或被授权人（签字）：</w:t>
      </w:r>
    </w:p>
    <w:p w14:paraId="7AAF584B">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56A3F402">
      <w:pPr>
        <w:jc w:val="right"/>
        <w:rPr>
          <w:rFonts w:hint="eastAsia" w:ascii="黑体" w:hAnsi="宋体" w:eastAsia="黑体" w:cs="黑体"/>
          <w:b/>
          <w:i/>
          <w:color w:val="auto"/>
          <w:sz w:val="32"/>
          <w:szCs w:val="32"/>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黑体" w:hAnsi="宋体" w:eastAsia="黑体" w:cs="黑体"/>
          <w:b/>
          <w:i/>
          <w:color w:val="auto"/>
          <w:sz w:val="32"/>
          <w:szCs w:val="32"/>
          <w:highlight w:val="none"/>
          <w:u w:val="single"/>
        </w:rPr>
        <w:br w:type="page" w:clear="all"/>
      </w:r>
    </w:p>
    <w:p w14:paraId="54394D21">
      <w:pPr>
        <w:pStyle w:val="33"/>
        <w:spacing w:beforeAutospacing="0" w:afterAutospacing="0"/>
        <w:jc w:val="center"/>
        <w:rPr>
          <w:color w:val="auto"/>
          <w:highlight w:val="none"/>
          <w:shd w:val="clear" w:color="auto" w:fill="auto"/>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、开标一览表</w:t>
      </w:r>
      <w:r>
        <w:rPr>
          <w:rFonts w:ascii="Times New Roman" w:hAnsi="Times New Roman"/>
          <w:color w:val="auto"/>
          <w:sz w:val="21"/>
          <w:szCs w:val="21"/>
          <w:highlight w:val="none"/>
          <w:shd w:val="clear" w:color="auto" w:fill="auto"/>
        </w:rPr>
        <w:t>（备注：经办人在有总报价有核心产品时选用。确定后该备注删除。）</w:t>
      </w:r>
    </w:p>
    <w:p w14:paraId="0622FB07">
      <w:pPr>
        <w:pStyle w:val="33"/>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投标人全称（加盖CA电子签章）：</w:t>
      </w:r>
    </w:p>
    <w:p w14:paraId="54DA7DA4">
      <w:pPr>
        <w:pStyle w:val="33"/>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4F4A9394">
      <w:pPr>
        <w:pStyle w:val="3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6C390208">
      <w:pPr>
        <w:pStyle w:val="33"/>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35"/>
        <w:tblW w:w="8413" w:type="dxa"/>
        <w:tblCellSpacing w:w="0" w:type="dxa"/>
        <w:tblInd w:w="118" w:type="dxa"/>
        <w:tblLayout w:type="fixed"/>
        <w:tblCellMar>
          <w:top w:w="0" w:type="dxa"/>
          <w:left w:w="108" w:type="dxa"/>
          <w:bottom w:w="0" w:type="dxa"/>
          <w:right w:w="108" w:type="dxa"/>
        </w:tblCellMar>
      </w:tblPr>
      <w:tblGrid>
        <w:gridCol w:w="2349"/>
        <w:gridCol w:w="6064"/>
      </w:tblGrid>
      <w:tr w14:paraId="5C2D36ED">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B2EC89">
            <w:pPr>
              <w:pStyle w:val="33"/>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1A685CFD">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A71BCD">
            <w:pPr>
              <w:pStyle w:val="33"/>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1F1F0059">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6B3135">
            <w:pPr>
              <w:pStyle w:val="33"/>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r w14:paraId="1ECE05FB">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712C38">
            <w:pPr>
              <w:pStyle w:val="33"/>
              <w:spacing w:beforeAutospacing="0" w:afterAutospacing="0" w:line="300" w:lineRule="auto"/>
              <w:jc w:val="center"/>
              <w:rPr>
                <w:color w:val="auto"/>
                <w:highlight w:val="none"/>
              </w:rPr>
            </w:pPr>
            <w:r>
              <w:rPr>
                <w:rFonts w:hint="eastAsia" w:ascii="宋体" w:hAnsi="宋体" w:eastAsia="宋体" w:cs="宋体"/>
                <w:color w:val="auto"/>
                <w:highlight w:val="none"/>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F74400">
            <w:pPr>
              <w:pStyle w:val="33"/>
              <w:spacing w:beforeAutospacing="0" w:afterAutospacing="0" w:line="0" w:lineRule="atLeast"/>
              <w:rPr>
                <w:color w:val="auto"/>
                <w:highlight w:val="none"/>
              </w:rPr>
            </w:pPr>
            <w:r>
              <w:rPr>
                <w:color w:val="auto"/>
                <w:highlight w:val="none"/>
              </w:rPr>
              <w:t> </w:t>
            </w:r>
          </w:p>
        </w:tc>
      </w:tr>
    </w:tbl>
    <w:p w14:paraId="71D35EEE">
      <w:pPr>
        <w:pStyle w:val="33"/>
        <w:spacing w:beforeAutospacing="0" w:afterAutospacing="0"/>
        <w:jc w:val="both"/>
        <w:rPr>
          <w:color w:val="auto"/>
          <w:highlight w:val="none"/>
        </w:rPr>
      </w:pPr>
      <w:r>
        <w:rPr>
          <w:color w:val="auto"/>
          <w:highlight w:val="none"/>
        </w:rPr>
        <w:t> </w:t>
      </w:r>
    </w:p>
    <w:p w14:paraId="640EAA73">
      <w:pPr>
        <w:pStyle w:val="33"/>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32B0E3D">
      <w:pPr>
        <w:pStyle w:val="33"/>
        <w:spacing w:beforeAutospacing="0" w:afterAutospacing="0"/>
        <w:jc w:val="both"/>
        <w:rPr>
          <w:color w:val="auto"/>
          <w:highlight w:val="none"/>
        </w:rPr>
      </w:pPr>
      <w:r>
        <w:rPr>
          <w:color w:val="auto"/>
          <w:highlight w:val="none"/>
        </w:rPr>
        <w:t> </w:t>
      </w:r>
    </w:p>
    <w:p w14:paraId="59078C05">
      <w:pPr>
        <w:widowControl/>
        <w:spacing w:before="50" w:after="50"/>
        <w:jc w:val="center"/>
        <w:rPr>
          <w:rFonts w:ascii="宋体" w:hAnsi="宋体" w:eastAsia="宋体" w:cs="宋体"/>
          <w:b/>
          <w:bCs/>
          <w:i/>
          <w:iCs/>
          <w:color w:val="auto"/>
          <w:sz w:val="24"/>
          <w:highlight w:val="none"/>
          <w:u w:val="single"/>
        </w:rPr>
      </w:pPr>
      <w:r>
        <w:rPr>
          <w:rFonts w:hint="eastAsia" w:ascii="宋体" w:hAnsi="宋体" w:eastAsia="宋体" w:cs="宋体"/>
          <w:b/>
          <w:bCs/>
          <w:i/>
          <w:iCs/>
          <w:color w:val="auto"/>
          <w:sz w:val="32"/>
          <w:szCs w:val="32"/>
          <w:highlight w:val="none"/>
          <w:u w:val="single"/>
        </w:rPr>
        <w:t>十</w:t>
      </w:r>
      <w:r>
        <w:rPr>
          <w:rFonts w:hint="eastAsia" w:ascii="宋体" w:hAnsi="宋体" w:eastAsia="宋体" w:cs="宋体"/>
          <w:b/>
          <w:bCs/>
          <w:i/>
          <w:iCs/>
          <w:color w:val="auto"/>
          <w:sz w:val="32"/>
          <w:szCs w:val="32"/>
          <w:highlight w:val="none"/>
          <w:u w:val="single"/>
          <w:lang w:val="en-US" w:eastAsia="zh-CN"/>
        </w:rPr>
        <w:t>七</w:t>
      </w:r>
      <w:r>
        <w:rPr>
          <w:rFonts w:hint="eastAsia" w:ascii="宋体" w:hAnsi="宋体" w:eastAsia="宋体" w:cs="宋体"/>
          <w:b/>
          <w:bCs/>
          <w:i/>
          <w:iCs/>
          <w:color w:val="auto"/>
          <w:sz w:val="32"/>
          <w:szCs w:val="32"/>
          <w:highlight w:val="none"/>
          <w:u w:val="single"/>
        </w:rPr>
        <w:t>、技术方案、服务承诺、培训承诺等</w:t>
      </w:r>
    </w:p>
    <w:p w14:paraId="7CCFDC72">
      <w:pPr>
        <w:pStyle w:val="33"/>
        <w:spacing w:beforeAutospacing="0" w:afterAutospacing="0"/>
        <w:jc w:val="center"/>
        <w:rPr>
          <w:rFonts w:ascii="宋体" w:hAnsi="宋体" w:eastAsia="宋体" w:cs="宋体"/>
          <w:b/>
          <w:color w:val="auto"/>
          <w:sz w:val="32"/>
          <w:szCs w:val="32"/>
          <w:highlight w:val="none"/>
        </w:rPr>
      </w:pPr>
    </w:p>
    <w:p w14:paraId="1A9E2E03">
      <w:pPr>
        <w:pStyle w:val="33"/>
        <w:spacing w:beforeAutospacing="0" w:afterAutospacing="0"/>
        <w:jc w:val="center"/>
        <w:rPr>
          <w:rFonts w:ascii="宋体" w:hAnsi="宋体" w:eastAsia="宋体" w:cs="宋体"/>
          <w:b/>
          <w:color w:val="auto"/>
          <w:sz w:val="32"/>
          <w:szCs w:val="32"/>
          <w:highlight w:val="none"/>
        </w:rPr>
      </w:pPr>
    </w:p>
    <w:p w14:paraId="3FA6146C">
      <w:pPr>
        <w:pStyle w:val="33"/>
        <w:spacing w:beforeAutospacing="0" w:afterAutospacing="0"/>
        <w:jc w:val="center"/>
        <w:rPr>
          <w:rFonts w:ascii="宋体" w:hAnsi="宋体" w:eastAsia="宋体" w:cs="宋体"/>
          <w:b/>
          <w:color w:val="auto"/>
          <w:sz w:val="32"/>
          <w:szCs w:val="32"/>
          <w:highlight w:val="none"/>
        </w:rPr>
      </w:pPr>
    </w:p>
    <w:p w14:paraId="7F2108C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p>
    <w:p w14:paraId="494FB37D">
      <w:pPr>
        <w:pStyle w:val="33"/>
        <w:spacing w:beforeAutospacing="0" w:afterAutospacing="0"/>
        <w:jc w:val="center"/>
        <w:rPr>
          <w:rFonts w:hint="eastAsia" w:ascii="黑体" w:hAnsi="宋体" w:eastAsia="黑体" w:cs="黑体"/>
          <w:b w:val="0"/>
          <w:bCs/>
          <w:i/>
          <w:iCs w:val="0"/>
          <w:color w:val="auto"/>
          <w:sz w:val="32"/>
          <w:szCs w:val="32"/>
          <w:highlight w:val="none"/>
          <w:u w:val="single"/>
        </w:rPr>
      </w:pPr>
      <w:r>
        <w:rPr>
          <w:rFonts w:hint="eastAsia" w:ascii="黑体" w:hAnsi="宋体" w:eastAsia="黑体" w:cs="黑体"/>
          <w:b w:val="0"/>
          <w:bCs/>
          <w:i/>
          <w:iCs w:val="0"/>
          <w:color w:val="auto"/>
          <w:sz w:val="32"/>
          <w:szCs w:val="32"/>
          <w:highlight w:val="none"/>
          <w:u w:val="single"/>
        </w:rPr>
        <w:t>十</w:t>
      </w:r>
      <w:r>
        <w:rPr>
          <w:rFonts w:hint="eastAsia" w:ascii="黑体" w:hAnsi="宋体" w:eastAsia="黑体" w:cs="黑体"/>
          <w:b w:val="0"/>
          <w:bCs/>
          <w:i/>
          <w:iCs w:val="0"/>
          <w:color w:val="auto"/>
          <w:sz w:val="32"/>
          <w:szCs w:val="32"/>
          <w:highlight w:val="none"/>
          <w:u w:val="single"/>
          <w:lang w:val="en-US" w:eastAsia="zh-CN"/>
        </w:rPr>
        <w:t>八</w:t>
      </w:r>
      <w:r>
        <w:rPr>
          <w:rFonts w:hint="eastAsia" w:ascii="黑体" w:hAnsi="宋体" w:eastAsia="黑体" w:cs="黑体"/>
          <w:b w:val="0"/>
          <w:bCs/>
          <w:i/>
          <w:iCs w:val="0"/>
          <w:color w:val="auto"/>
          <w:sz w:val="32"/>
          <w:szCs w:val="32"/>
          <w:highlight w:val="none"/>
          <w:u w:val="single"/>
        </w:rPr>
        <w:t>、盐城市政府采购事前信用承诺书</w:t>
      </w:r>
    </w:p>
    <w:p w14:paraId="24D768E9">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7F46BC1E">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5C114670">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6EA649AE">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1B987D5">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13E9D6AE">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34B2DE84">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689435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2264D268">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CD179D7">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4758858E">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01494681">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3FEC10CA">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bookmarkEnd w:id="6"/>
    <w:bookmarkEnd w:id="45"/>
    <w:bookmarkEnd w:id="92"/>
    <w:bookmarkEnd w:id="93"/>
    <w:bookmarkEnd w:id="94"/>
    <w:bookmarkEnd w:id="95"/>
    <w:bookmarkEnd w:id="96"/>
    <w:bookmarkEnd w:id="97"/>
    <w:bookmarkEnd w:id="98"/>
    <w:bookmarkEnd w:id="99"/>
    <w:bookmarkEnd w:id="108"/>
    <w:bookmarkEnd w:id="109"/>
    <w:bookmarkEnd w:id="116"/>
    <w:bookmarkEnd w:id="163"/>
    <w:bookmarkEnd w:id="174"/>
    <w:bookmarkEnd w:id="178"/>
    <w:bookmarkEnd w:id="179"/>
    <w:bookmarkEnd w:id="180"/>
    <w:bookmarkEnd w:id="181"/>
    <w:bookmarkEnd w:id="182"/>
    <w:bookmarkEnd w:id="183"/>
    <w:bookmarkEnd w:id="184"/>
    <w:bookmarkEnd w:id="185"/>
    <w:bookmarkEnd w:id="194"/>
    <w:bookmarkEnd w:id="195"/>
    <w:bookmarkEnd w:id="196"/>
    <w:bookmarkEnd w:id="197"/>
    <w:bookmarkEnd w:id="198"/>
    <w:p w14:paraId="722B3602">
      <w:pPr>
        <w:pStyle w:val="33"/>
        <w:spacing w:beforeAutospacing="0" w:afterAutospacing="0"/>
        <w:jc w:val="center"/>
        <w:rPr>
          <w:color w:val="auto"/>
          <w:highlight w:val="none"/>
        </w:rPr>
      </w:pPr>
    </w:p>
    <w:p w14:paraId="23B21E11">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1F81559F">
      <w:pPr>
        <w:pStyle w:val="33"/>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22B11117">
      <w:pPr>
        <w:pStyle w:val="33"/>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4FC591C6">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2064A62">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244A8D0A">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1FD54F6">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EDA2EAE">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19A5393E">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F5EB442">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CA2E31C">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FC1B141">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70EA830C">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2963E392">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2074044">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19DFFCB1">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3AA0525">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66529BCB">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31098F79">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32A859BA">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708FEAEB">
      <w:pPr>
        <w:pStyle w:val="3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3507AAF8">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33A46C80">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6B7CF46C">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3438F5BC">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73800CA5">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12C4191B">
      <w:pPr>
        <w:pStyle w:val="3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430284F3">
      <w:pPr>
        <w:pStyle w:val="33"/>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2D56757F">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43DC496">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A76A8F0">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52D696A0">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1AFDDB85">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745EC59C">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62E8F534">
      <w:pPr>
        <w:pStyle w:val="33"/>
        <w:spacing w:beforeAutospacing="0" w:afterAutospacing="0"/>
        <w:rPr>
          <w:color w:val="auto"/>
          <w:highlight w:val="none"/>
        </w:rPr>
      </w:pPr>
    </w:p>
    <w:sectPr>
      <w:footerReference r:id="rId4" w:type="default"/>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108FA">
    <w:pPr>
      <w:pStyle w:val="19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7B43F38B">
    <w:pPr>
      <w:pStyle w:val="1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938D7">
    <w:pPr>
      <w:pStyle w:val="19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45A5CA24">
    <w:pPr>
      <w:pStyle w:val="19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8879AEF"/>
    <w:multiLevelType w:val="multilevel"/>
    <w:tmpl w:val="C8879AEF"/>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248C179"/>
    <w:multiLevelType w:val="multilevel"/>
    <w:tmpl w:val="0248C179"/>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1C9762C3"/>
    <w:multiLevelType w:val="singleLevel"/>
    <w:tmpl w:val="1C9762C3"/>
    <w:lvl w:ilvl="0" w:tentative="0">
      <w:start w:val="1"/>
      <w:numFmt w:val="decimal"/>
      <w:suff w:val="nothing"/>
      <w:lvlText w:val="%1、"/>
      <w:lvlJc w:val="left"/>
    </w:lvl>
  </w:abstractNum>
  <w:abstractNum w:abstractNumId="6">
    <w:nsid w:val="25B654F3"/>
    <w:multiLevelType w:val="multilevel"/>
    <w:tmpl w:val="25B654F3"/>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A8F537B"/>
    <w:multiLevelType w:val="multilevel"/>
    <w:tmpl w:val="2A8F537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A241D34"/>
    <w:multiLevelType w:val="multilevel"/>
    <w:tmpl w:val="5A241D3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lvlOverride w:ilvl="0">
      <w:startOverride w:val="2"/>
    </w:lvlOverride>
  </w:num>
  <w:num w:numId="4">
    <w:abstractNumId w:val="0"/>
    <w:lvlOverride w:ilvl="0">
      <w:startOverride w:val="6"/>
    </w:lvlOverride>
  </w:num>
  <w:num w:numId="5">
    <w:abstractNumId w:val="6"/>
    <w:lvlOverride w:ilvl="0">
      <w:startOverride w:val="16"/>
    </w:lvlOverride>
  </w:num>
  <w:num w:numId="6">
    <w:abstractNumId w:val="4"/>
    <w:lvlOverride w:ilvl="0">
      <w:startOverride w:val="23"/>
    </w:lvlOverride>
  </w:num>
  <w:num w:numId="7">
    <w:abstractNumId w:val="7"/>
  </w:num>
  <w:num w:numId="8">
    <w:abstractNumId w:val="9"/>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A492B"/>
    <w:rsid w:val="06AD2361"/>
    <w:rsid w:val="1425534F"/>
    <w:rsid w:val="196C5B8A"/>
    <w:rsid w:val="1DE9508E"/>
    <w:rsid w:val="2B9B0397"/>
    <w:rsid w:val="2DFF6B75"/>
    <w:rsid w:val="39480628"/>
    <w:rsid w:val="3B8E6CC5"/>
    <w:rsid w:val="3C704DA3"/>
    <w:rsid w:val="519F3F0B"/>
    <w:rsid w:val="57941493"/>
    <w:rsid w:val="61EB5223"/>
    <w:rsid w:val="657A1A10"/>
    <w:rsid w:val="67C81621"/>
    <w:rsid w:val="79457AC9"/>
    <w:rsid w:val="7A3B63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0"/>
    <w:pPr>
      <w:keepNext/>
      <w:spacing w:line="360" w:lineRule="auto"/>
      <w:jc w:val="center"/>
      <w:outlineLvl w:val="0"/>
    </w:pPr>
    <w:rPr>
      <w:rFonts w:ascii="宋体" w:hAnsi="宋体" w:eastAsia="宋体" w:cs="Times New Roman"/>
      <w:b/>
      <w:sz w:val="24"/>
      <w:szCs w:val="2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1"/>
    <w:unhideWhenUsed/>
    <w:qFormat/>
    <w:uiPriority w:val="9"/>
    <w:pPr>
      <w:keepNext/>
      <w:keepLines/>
      <w:spacing w:before="260" w:after="260" w:line="413" w:lineRule="auto"/>
      <w:outlineLvl w:val="2"/>
    </w:pPr>
    <w:rPr>
      <w:b/>
      <w:sz w:val="32"/>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unhideWhenUsed/>
    <w:qFormat/>
    <w:uiPriority w:val="0"/>
    <w:pPr>
      <w:spacing w:after="120"/>
    </w:pPr>
    <w:rPr>
      <w:rFonts w:ascii="Calibri" w:hAnsi="Calibri"/>
      <w:szCs w:val="22"/>
    </w:rPr>
  </w:style>
  <w:style w:type="paragraph" w:styleId="16">
    <w:name w:val="Body Text Indent"/>
    <w:basedOn w:val="1"/>
    <w:next w:val="1"/>
    <w:qFormat/>
    <w:uiPriority w:val="0"/>
    <w:pPr>
      <w:spacing w:after="120"/>
      <w:ind w:left="420"/>
    </w:pPr>
  </w:style>
  <w:style w:type="paragraph" w:styleId="17">
    <w:name w:val="Block Text"/>
    <w:basedOn w:val="1"/>
    <w:unhideWhenUsed/>
    <w:qFormat/>
    <w:uiPriority w:val="99"/>
    <w:pPr>
      <w:spacing w:after="120"/>
      <w:ind w:left="1440" w:right="144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unhideWhenUsed/>
    <w:qFormat/>
    <w:uiPriority w:val="0"/>
    <w:rPr>
      <w:rFonts w:ascii="宋体" w:hAnsi="Courier New" w:cs="Courier New"/>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6"/>
    <w:semiHidden/>
    <w:unhideWhenUsed/>
    <w:qFormat/>
    <w:uiPriority w:val="99"/>
    <w:pPr>
      <w:spacing w:after="0" w:line="240" w:lineRule="auto"/>
    </w:pPr>
    <w:rPr>
      <w:sz w:val="20"/>
    </w:rPr>
  </w:style>
  <w:style w:type="paragraph" w:styleId="23">
    <w:name w:val="footer"/>
    <w:basedOn w:val="1"/>
    <w:link w:val="191"/>
    <w:qFormat/>
    <w:uiPriority w:val="0"/>
    <w:pPr>
      <w:tabs>
        <w:tab w:val="center" w:pos="4153"/>
        <w:tab w:val="right" w:pos="8306"/>
      </w:tabs>
      <w:jc w:val="left"/>
    </w:pPr>
    <w:rPr>
      <w:sz w:val="18"/>
      <w:szCs w:val="18"/>
    </w:rPr>
  </w:style>
  <w:style w:type="paragraph" w:styleId="24">
    <w:name w:val="header"/>
    <w:basedOn w:val="1"/>
    <w:link w:val="190"/>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2"/>
    <w:qFormat/>
    <w:uiPriority w:val="11"/>
    <w:pPr>
      <w:spacing w:before="200" w:after="200"/>
    </w:pPr>
    <w:rPr>
      <w:sz w:val="24"/>
      <w:szCs w:val="24"/>
    </w:rPr>
  </w:style>
  <w:style w:type="paragraph" w:styleId="28">
    <w:name w:val="footnote text"/>
    <w:basedOn w:val="1"/>
    <w:link w:val="185"/>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51"/>
    <w:qFormat/>
    <w:uiPriority w:val="10"/>
    <w:pPr>
      <w:spacing w:before="300" w:after="200"/>
      <w:contextualSpacing/>
    </w:pPr>
    <w:rPr>
      <w:sz w:val="48"/>
      <w:szCs w:val="48"/>
    </w:rPr>
  </w:style>
  <w:style w:type="table" w:styleId="36">
    <w:name w:val="Table Grid"/>
    <w:basedOn w:val="3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8">
    <w:name w:val="endnote reference"/>
    <w:basedOn w:val="37"/>
    <w:semiHidden/>
    <w:unhideWhenUsed/>
    <w:qFormat/>
    <w:uiPriority w:val="99"/>
    <w:rPr>
      <w:vertAlign w:val="superscript"/>
    </w:rPr>
  </w:style>
  <w:style w:type="character" w:styleId="39">
    <w:name w:val="Hyperlink"/>
    <w:unhideWhenUsed/>
    <w:qFormat/>
    <w:uiPriority w:val="99"/>
    <w:rPr>
      <w:color w:val="0563C1" w:themeColor="hyperlink"/>
      <w:u w:val="single"/>
      <w14:textFill>
        <w14:solidFill>
          <w14:schemeClr w14:val="hlink"/>
        </w14:solidFill>
      </w14:textFill>
    </w:rPr>
  </w:style>
  <w:style w:type="character" w:styleId="40">
    <w:name w:val="footnote reference"/>
    <w:basedOn w:val="37"/>
    <w:unhideWhenUsed/>
    <w:qFormat/>
    <w:uiPriority w:val="99"/>
    <w:rPr>
      <w:vertAlign w:val="superscript"/>
    </w:rPr>
  </w:style>
  <w:style w:type="character" w:customStyle="1" w:styleId="41">
    <w:name w:val="Heading 1 Char"/>
    <w:basedOn w:val="37"/>
    <w:qFormat/>
    <w:uiPriority w:val="9"/>
    <w:rPr>
      <w:rFonts w:ascii="Arial" w:hAnsi="Arial" w:eastAsia="Arial" w:cs="Arial"/>
      <w:sz w:val="40"/>
      <w:szCs w:val="40"/>
    </w:rPr>
  </w:style>
  <w:style w:type="character" w:customStyle="1" w:styleId="42">
    <w:name w:val="Heading 2 Char"/>
    <w:basedOn w:val="37"/>
    <w:qFormat/>
    <w:uiPriority w:val="9"/>
    <w:rPr>
      <w:rFonts w:ascii="Arial" w:hAnsi="Arial" w:eastAsia="Arial" w:cs="Arial"/>
      <w:sz w:val="34"/>
    </w:rPr>
  </w:style>
  <w:style w:type="character" w:customStyle="1" w:styleId="43">
    <w:name w:val="Heading 3 Char"/>
    <w:basedOn w:val="37"/>
    <w:qFormat/>
    <w:uiPriority w:val="9"/>
    <w:rPr>
      <w:rFonts w:ascii="Arial" w:hAnsi="Arial" w:eastAsia="Arial" w:cs="Arial"/>
      <w:sz w:val="30"/>
      <w:szCs w:val="30"/>
    </w:rPr>
  </w:style>
  <w:style w:type="character" w:customStyle="1" w:styleId="44">
    <w:name w:val="Heading 4 Char"/>
    <w:basedOn w:val="37"/>
    <w:link w:val="5"/>
    <w:qFormat/>
    <w:uiPriority w:val="9"/>
    <w:rPr>
      <w:rFonts w:ascii="Arial" w:hAnsi="Arial" w:eastAsia="Arial" w:cs="Arial"/>
      <w:b/>
      <w:bCs/>
      <w:sz w:val="26"/>
      <w:szCs w:val="26"/>
    </w:rPr>
  </w:style>
  <w:style w:type="character" w:customStyle="1" w:styleId="45">
    <w:name w:val="Heading 5 Char"/>
    <w:basedOn w:val="37"/>
    <w:link w:val="6"/>
    <w:qFormat/>
    <w:uiPriority w:val="9"/>
    <w:rPr>
      <w:rFonts w:ascii="Arial" w:hAnsi="Arial" w:eastAsia="Arial" w:cs="Arial"/>
      <w:b/>
      <w:bCs/>
      <w:sz w:val="24"/>
      <w:szCs w:val="24"/>
    </w:rPr>
  </w:style>
  <w:style w:type="character" w:customStyle="1" w:styleId="46">
    <w:name w:val="Heading 6 Char"/>
    <w:basedOn w:val="37"/>
    <w:link w:val="7"/>
    <w:qFormat/>
    <w:uiPriority w:val="9"/>
    <w:rPr>
      <w:rFonts w:ascii="Arial" w:hAnsi="Arial" w:eastAsia="Arial" w:cs="Arial"/>
      <w:b/>
      <w:bCs/>
      <w:sz w:val="22"/>
      <w:szCs w:val="22"/>
    </w:rPr>
  </w:style>
  <w:style w:type="character" w:customStyle="1" w:styleId="47">
    <w:name w:val="Heading 7 Char"/>
    <w:basedOn w:val="37"/>
    <w:link w:val="8"/>
    <w:qFormat/>
    <w:uiPriority w:val="9"/>
    <w:rPr>
      <w:rFonts w:ascii="Arial" w:hAnsi="Arial" w:eastAsia="Arial" w:cs="Arial"/>
      <w:b/>
      <w:bCs/>
      <w:i/>
      <w:iCs/>
      <w:sz w:val="22"/>
      <w:szCs w:val="22"/>
    </w:rPr>
  </w:style>
  <w:style w:type="character" w:customStyle="1" w:styleId="48">
    <w:name w:val="Heading 8 Char"/>
    <w:basedOn w:val="37"/>
    <w:link w:val="9"/>
    <w:qFormat/>
    <w:uiPriority w:val="9"/>
    <w:rPr>
      <w:rFonts w:ascii="Arial" w:hAnsi="Arial" w:eastAsia="Arial" w:cs="Arial"/>
      <w:i/>
      <w:iCs/>
      <w:sz w:val="22"/>
      <w:szCs w:val="22"/>
    </w:rPr>
  </w:style>
  <w:style w:type="character" w:customStyle="1" w:styleId="49">
    <w:name w:val="Heading 9 Char"/>
    <w:basedOn w:val="37"/>
    <w:link w:val="10"/>
    <w:qFormat/>
    <w:uiPriority w:val="9"/>
    <w:rPr>
      <w:rFonts w:ascii="Arial" w:hAnsi="Arial" w:eastAsia="Arial" w:cs="Arial"/>
      <w:i/>
      <w:iCs/>
      <w:sz w:val="21"/>
      <w:szCs w:val="21"/>
    </w:r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basedOn w:val="37"/>
    <w:link w:val="34"/>
    <w:qFormat/>
    <w:uiPriority w:val="10"/>
    <w:rPr>
      <w:sz w:val="48"/>
      <w:szCs w:val="48"/>
    </w:rPr>
  </w:style>
  <w:style w:type="character" w:customStyle="1" w:styleId="52">
    <w:name w:val="Subtitle Char"/>
    <w:basedOn w:val="37"/>
    <w:link w:val="27"/>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basedOn w:val="37"/>
    <w:qFormat/>
    <w:uiPriority w:val="99"/>
  </w:style>
  <w:style w:type="character" w:customStyle="1" w:styleId="58">
    <w:name w:val="Footer Char"/>
    <w:basedOn w:val="37"/>
    <w:qFormat/>
    <w:uiPriority w:val="99"/>
  </w:style>
  <w:style w:type="character" w:customStyle="1" w:styleId="59">
    <w:name w:val="Caption Char"/>
    <w:qFormat/>
    <w:uiPriority w:val="99"/>
  </w:style>
  <w:style w:type="table" w:customStyle="1" w:styleId="60">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8">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9">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0">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1">
    <w:name w:val="Grid Table 1 Light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2">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3">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5">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6">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7">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8">
    <w:name w:val="Grid Table 2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9">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0">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2">
    <w:name w:val="Grid Table 3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3">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4">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5">
    <w:name w:val="Grid Table 3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6">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7">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5"/>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9">
    <w:name w:val="Grid Table 4 - Accent 2"/>
    <w:basedOn w:val="35"/>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0">
    <w:name w:val="Grid Table 4 - Accent 3"/>
    <w:basedOn w:val="35"/>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1">
    <w:name w:val="Grid Table 4 - Accent 4"/>
    <w:basedOn w:val="35"/>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2">
    <w:name w:val="Grid Table 4 - Accent 5"/>
    <w:basedOn w:val="35"/>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3">
    <w:name w:val="Grid Table 4 - Accent 6"/>
    <w:basedOn w:val="3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4">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6">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7">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8">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9">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0">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1">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5"/>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5"/>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7">
    <w:name w:val="Grid Table 6 Colorful - Accent 6"/>
    <w:basedOn w:val="35"/>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8">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5"/>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5"/>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5"/>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basedOn w:val="35"/>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5"/>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4">
    <w:name w:val="Grid Table 7 Colorful - Accent 6"/>
    <w:basedOn w:val="35"/>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5">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5"/>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7">
    <w:name w:val="List Table 1 Light - Accent 2"/>
    <w:basedOn w:val="35"/>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8">
    <w:name w:val="List Table 1 Light - Accent 3"/>
    <w:basedOn w:val="35"/>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9">
    <w:name w:val="List Table 1 Light - Accent 4"/>
    <w:basedOn w:val="35"/>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0">
    <w:name w:val="List Table 1 Light - Accent 5"/>
    <w:basedOn w:val="35"/>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1">
    <w:name w:val="List Table 1 Light - Accent 6"/>
    <w:basedOn w:val="35"/>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2">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5"/>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4">
    <w:name w:val="List Table 2 - Accent 2"/>
    <w:basedOn w:val="35"/>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5">
    <w:name w:val="List Table 2 - Accent 3"/>
    <w:basedOn w:val="35"/>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6">
    <w:name w:val="List Table 2 - Accent 4"/>
    <w:basedOn w:val="35"/>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7">
    <w:name w:val="List Table 2 - Accent 5"/>
    <w:basedOn w:val="35"/>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8">
    <w:name w:val="List Table 2 - Accent 6"/>
    <w:basedOn w:val="35"/>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9">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5"/>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1">
    <w:name w:val="List Table 3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2">
    <w:name w:val="List Table 3 - Accent 3"/>
    <w:basedOn w:val="35"/>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3">
    <w:name w:val="List Table 3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4">
    <w:name w:val="List Table 3 - Accent 5"/>
    <w:basedOn w:val="35"/>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5">
    <w:name w:val="List Table 3 - Accent 6"/>
    <w:basedOn w:val="35"/>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6">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5"/>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8">
    <w:name w:val="List Table 4 - Accent 2"/>
    <w:basedOn w:val="35"/>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9">
    <w:name w:val="List Table 4 - Accent 3"/>
    <w:basedOn w:val="35"/>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0">
    <w:name w:val="List Table 4 - Accent 4"/>
    <w:basedOn w:val="35"/>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1">
    <w:name w:val="List Table 4 - Accent 5"/>
    <w:basedOn w:val="35"/>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2">
    <w:name w:val="List Table 4 - Accent 6"/>
    <w:basedOn w:val="35"/>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3">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5"/>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5">
    <w:name w:val="List Table 5 Dark - Accent 2"/>
    <w:basedOn w:val="35"/>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6">
    <w:name w:val="List Table 5 Dark - Accent 3"/>
    <w:basedOn w:val="35"/>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7">
    <w:name w:val="List Table 5 Dark - Accent 4"/>
    <w:basedOn w:val="35"/>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8">
    <w:name w:val="List Table 5 Dark - Accent 5"/>
    <w:basedOn w:val="35"/>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9">
    <w:name w:val="List Table 5 Dark - Accent 6"/>
    <w:basedOn w:val="35"/>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0">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5"/>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2">
    <w:name w:val="List Table 6 Colorful - Accent 2"/>
    <w:basedOn w:val="35"/>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5"/>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5"/>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5"/>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5"/>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7">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5"/>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9">
    <w:name w:val="List Table 7 Colorful - Accent 2"/>
    <w:basedOn w:val="35"/>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5"/>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5"/>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5"/>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5"/>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5"/>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6">
    <w:name w:val="Lined - Accent 2"/>
    <w:basedOn w:val="35"/>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7">
    <w:name w:val="Lined - Accent 3"/>
    <w:basedOn w:val="35"/>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8">
    <w:name w:val="Lined - Accent 4"/>
    <w:basedOn w:val="35"/>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9">
    <w:name w:val="Lined - Accent 5"/>
    <w:basedOn w:val="35"/>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0">
    <w:name w:val="Lined - Accent 6"/>
    <w:basedOn w:val="35"/>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1">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5"/>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3">
    <w:name w:val="Bordered &amp; Lined - Accent 2"/>
    <w:basedOn w:val="35"/>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4">
    <w:name w:val="Bordered &amp; Lined - Accent 3"/>
    <w:basedOn w:val="35"/>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5">
    <w:name w:val="Bordered &amp; Lined - Accent 4"/>
    <w:basedOn w:val="35"/>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6">
    <w:name w:val="Bordered &amp; Lined - Accent 5"/>
    <w:basedOn w:val="35"/>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7">
    <w:name w:val="Bordered &amp; Lined - Accent 6"/>
    <w:basedOn w:val="35"/>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8">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0">
    <w:name w:val="Bordered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1">
    <w:name w:val="Bordered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2">
    <w:name w:val="Bordered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3">
    <w:name w:val="Bordered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4">
    <w:name w:val="Bordered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5">
    <w:name w:val="Footnote Text Char"/>
    <w:link w:val="28"/>
    <w:qFormat/>
    <w:uiPriority w:val="99"/>
    <w:rPr>
      <w:sz w:val="18"/>
    </w:rPr>
  </w:style>
  <w:style w:type="character" w:customStyle="1" w:styleId="186">
    <w:name w:val="Endnote Text Char"/>
    <w:link w:val="22"/>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Default"/>
    <w:basedOn w:val="1"/>
    <w:semiHidden/>
    <w:qFormat/>
    <w:uiPriority w:val="0"/>
    <w:pPr>
      <w:jc w:val="left"/>
    </w:pPr>
    <w:rPr>
      <w:rFonts w:ascii="宋体" w:hAnsi="Calibri" w:cs="宋体"/>
      <w:color w:val="000000"/>
      <w:sz w:val="24"/>
    </w:rPr>
  </w:style>
  <w:style w:type="paragraph" w:customStyle="1" w:styleId="189">
    <w:name w:val="正文1"/>
    <w:qFormat/>
    <w:uiPriority w:val="99"/>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190">
    <w:name w:val="页眉 Char"/>
    <w:basedOn w:val="37"/>
    <w:link w:val="24"/>
    <w:qFormat/>
    <w:uiPriority w:val="0"/>
    <w:rPr>
      <w:rFonts w:asciiTheme="minorHAnsi" w:hAnsiTheme="minorHAnsi" w:eastAsiaTheme="minorEastAsia" w:cstheme="minorBidi"/>
      <w:sz w:val="18"/>
      <w:szCs w:val="18"/>
    </w:rPr>
  </w:style>
  <w:style w:type="character" w:customStyle="1" w:styleId="191">
    <w:name w:val="页脚 Char"/>
    <w:basedOn w:val="37"/>
    <w:link w:val="23"/>
    <w:qFormat/>
    <w:uiPriority w:val="0"/>
    <w:rPr>
      <w:rFonts w:asciiTheme="minorHAnsi" w:hAnsiTheme="minorHAnsi" w:eastAsiaTheme="minorEastAsia" w:cstheme="minorBidi"/>
      <w:sz w:val="18"/>
      <w:szCs w:val="18"/>
    </w:rPr>
  </w:style>
  <w:style w:type="paragraph" w:customStyle="1" w:styleId="19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93">
    <w:name w:val="页脚1"/>
    <w:basedOn w:val="1"/>
    <w:unhideWhenUsed/>
    <w:qFormat/>
    <w:uiPriority w:val="99"/>
    <w:pPr>
      <w:tabs>
        <w:tab w:val="center" w:pos="4153"/>
        <w:tab w:val="right" w:pos="8306"/>
      </w:tabs>
      <w:jc w:val="left"/>
    </w:pPr>
    <w:rPr>
      <w:sz w:val="18"/>
      <w:szCs w:val="18"/>
    </w:rPr>
  </w:style>
  <w:style w:type="paragraph" w:customStyle="1" w:styleId="194">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5">
    <w:name w:val="正文首行缩进 21"/>
    <w:basedOn w:val="196"/>
    <w:qFormat/>
    <w:uiPriority w:val="0"/>
    <w:pPr>
      <w:ind w:firstLine="420"/>
    </w:pPr>
  </w:style>
  <w:style w:type="paragraph" w:customStyle="1" w:styleId="196">
    <w:name w:val="正文文本缩进1"/>
    <w:basedOn w:val="1"/>
    <w:qFormat/>
    <w:uiPriority w:val="0"/>
    <w:pPr>
      <w:spacing w:after="120"/>
      <w:ind w:left="420"/>
    </w:pPr>
  </w:style>
  <w:style w:type="paragraph" w:customStyle="1" w:styleId="197">
    <w:name w:val="Char"/>
    <w:basedOn w:val="1"/>
    <w:qFormat/>
    <w:uiPriority w:val="0"/>
    <w:pPr>
      <w:tabs>
        <w:tab w:val="left" w:pos="360"/>
      </w:tabs>
      <w:ind w:firstLine="200"/>
    </w:pPr>
    <w:rPr>
      <w:sz w:val="28"/>
      <w:szCs w:val="30"/>
    </w:rPr>
  </w:style>
  <w:style w:type="table" w:customStyle="1" w:styleId="198">
    <w:name w:val="网格型1"/>
    <w:basedOn w:val="199"/>
    <w:qFormat/>
    <w:uiPriority w:val="0"/>
    <w:pPr>
      <w:widowControl w:val="0"/>
      <w:jc w:val="both"/>
    </w:pPr>
  </w:style>
  <w:style w:type="table" w:customStyle="1" w:styleId="199">
    <w:name w:val="普通表格1"/>
    <w:unhideWhenUsed/>
    <w:qFormat/>
    <w:uiPriority w:val="99"/>
  </w:style>
  <w:style w:type="paragraph" w:styleId="200">
    <w:name w:val="List Paragraph"/>
    <w:basedOn w:val="1"/>
    <w:qFormat/>
    <w:uiPriority w:val="34"/>
    <w:pPr>
      <w:ind w:firstLine="420"/>
    </w:pPr>
  </w:style>
  <w:style w:type="character" w:customStyle="1" w:styleId="201">
    <w:name w:val="font01"/>
    <w:basedOn w:val="37"/>
    <w:qFormat/>
    <w:uiPriority w:val="0"/>
    <w:rPr>
      <w:rFonts w:hint="eastAsia" w:ascii="宋体" w:hAnsi="宋体" w:eastAsia="宋体" w:cs="宋体"/>
      <w:color w:val="000000"/>
      <w:sz w:val="24"/>
      <w:szCs w:val="24"/>
      <w:u w:val="none"/>
    </w:rPr>
  </w:style>
  <w:style w:type="paragraph" w:customStyle="1" w:styleId="202">
    <w:name w:val="普通(网站)1"/>
    <w:basedOn w:val="1"/>
    <w:qFormat/>
    <w:uiPriority w:val="0"/>
    <w:pPr>
      <w:spacing w:beforeAutospacing="1" w:afterAutospacing="1"/>
      <w:jc w:val="left"/>
    </w:pPr>
    <w:rPr>
      <w:rFonts w:cs="Times New Roman"/>
      <w:sz w:val="24"/>
    </w:rPr>
  </w:style>
  <w:style w:type="paragraph" w:customStyle="1" w:styleId="203">
    <w:name w:val="Table Paragraph"/>
    <w:basedOn w:val="1"/>
    <w:qFormat/>
    <w:uiPriority w:val="1"/>
    <w:rPr>
      <w:lang w:val="zh-CN" w:bidi="zh-CN"/>
    </w:rPr>
  </w:style>
  <w:style w:type="character" w:customStyle="1" w:styleId="204">
    <w:name w:val="font71"/>
    <w:basedOn w:val="37"/>
    <w:qFormat/>
    <w:uiPriority w:val="0"/>
    <w:rPr>
      <w:rFonts w:hint="default" w:ascii="Times New Roman" w:hAnsi="Times New Roman" w:cs="Times New Roman"/>
      <w:color w:val="000000"/>
      <w:sz w:val="20"/>
      <w:szCs w:val="20"/>
      <w:u w:val="none"/>
    </w:rPr>
  </w:style>
  <w:style w:type="character" w:customStyle="1" w:styleId="205">
    <w:name w:val="font51"/>
    <w:basedOn w:val="37"/>
    <w:qFormat/>
    <w:uiPriority w:val="0"/>
    <w:rPr>
      <w:rFonts w:hint="eastAsia" w:ascii="宋体" w:hAnsi="宋体" w:eastAsia="宋体" w:cs="宋体"/>
      <w:color w:val="000000"/>
      <w:sz w:val="20"/>
      <w:szCs w:val="20"/>
      <w:u w:val="none"/>
    </w:rPr>
  </w:style>
  <w:style w:type="character" w:customStyle="1" w:styleId="206">
    <w:name w:val="font41"/>
    <w:basedOn w:val="37"/>
    <w:qFormat/>
    <w:uiPriority w:val="0"/>
    <w:rPr>
      <w:rFonts w:hint="default" w:ascii="Times New Roman" w:hAnsi="Times New Roman" w:cs="Times New Roman"/>
      <w:color w:val="000000"/>
      <w:sz w:val="20"/>
      <w:szCs w:val="20"/>
      <w:u w:val="none"/>
    </w:rPr>
  </w:style>
  <w:style w:type="character" w:customStyle="1" w:styleId="207">
    <w:name w:val="font31"/>
    <w:basedOn w:val="37"/>
    <w:qFormat/>
    <w:uiPriority w:val="0"/>
    <w:rPr>
      <w:rFonts w:hint="eastAsia" w:ascii="宋体" w:hAnsi="宋体" w:eastAsia="宋体" w:cs="宋体"/>
      <w:color w:val="000000"/>
      <w:sz w:val="20"/>
      <w:szCs w:val="20"/>
      <w:u w:val="none"/>
    </w:rPr>
  </w:style>
  <w:style w:type="paragraph" w:customStyle="1" w:styleId="208">
    <w:name w:val="表格"/>
    <w:basedOn w:val="1"/>
    <w:qFormat/>
    <w:uiPriority w:val="0"/>
    <w:pPr>
      <w:spacing w:line="240" w:lineRule="auto"/>
      <w:ind w:firstLine="0"/>
      <w:jc w:val="center"/>
    </w:pPr>
    <w:rPr>
      <w:sz w:val="24"/>
    </w:rPr>
  </w:style>
  <w:style w:type="character" w:customStyle="1" w:styleId="209">
    <w:name w:val="font11"/>
    <w:basedOn w:val="37"/>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77</Pages>
  <Words>14936</Words>
  <Characters>16064</Characters>
  <TotalTime>0</TotalTime>
  <ScaleCrop>false</ScaleCrop>
  <LinksUpToDate>false</LinksUpToDate>
  <CharactersWithSpaces>16487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封印</cp:lastModifiedBy>
  <dcterms:modified xsi:type="dcterms:W3CDTF">2025-12-05T03:31:21Z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29159DDDC8FE467AA8695E6FFDB8A858_13</vt:lpwstr>
  </property>
  <property fmtid="{D5CDD505-2E9C-101B-9397-08002B2CF9AE}" pid="4" name="KSOTemplateDocerSaveRecord">
    <vt:lpwstr>eyJoZGlkIjoiZGUzZGNiN2JiMzk0N2Q4YjQzNWNmMWE1YWVlNWMwMjAiLCJ1c2VySWQiOiI0NTEzNDM5MTQifQ==</vt:lpwstr>
  </property>
</Properties>
</file>